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Narodowe Centrum Badań i Rozwoju ogłosiło III konkurs w ramach Strategicznego Programu Badań Naukowych i Prac Rozwojowych „Nowoczesne technologie materiałowe” – TECHMATSTRATEG Wnioski o finansowanie można składać od 30 grudnia 2019 r. do 30 marca 2020 r.</w:t>
      </w:r>
      <w:r>
        <w:rPr>
          <w:b/>
          <w:bCs/>
        </w:rPr>
        <w:t xml:space="preserve"> </w:t>
      </w:r>
    </w:p>
    <w:tbl>
      <w:tblPr>
        <w:tblW w:w="10500" w:type="dxa"/>
        <w:jc w:val="left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rPr>
          <w:trHeight w:val="3428" w:hRule="atLeast"/>
        </w:trPr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50"/>
              <w:jc w:val="both"/>
              <w:rPr>
                <w:rFonts w:ascii="Times New Roman" w:hAnsi="Times New Roman" w:eastAsia="Times New Roman" w:cs="Times New Roman"/>
                <w:b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pl-PL"/>
              </w:rPr>
              <w:t xml:space="preserve">Konkurs skierowany jest do: </w:t>
            </w:r>
          </w:p>
          <w:p>
            <w:pPr>
              <w:pStyle w:val="Normal"/>
              <w:spacing w:before="280" w:after="280"/>
              <w:rPr/>
            </w:pP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konsorcjów przedsiębiorstw i jednostek naukowych – min 3 podmioty, max 7 podmiotów przy czym: </w:t>
              <w:br/>
              <w:t xml:space="preserve">                - liderem konsorcjum może być jednostka naukowa lub przedsiębiorstwo; </w:t>
              <w:br/>
              <w:t xml:space="preserve">                - w skład konsorcjum musi wchodzić co najmniej jedno przedsiębiorstwo i co najmniej jedna jednostka naukowa; </w:t>
              <w:br/>
              <w:t xml:space="preserve">                - przedsiębiorstwa wchodzące w skład konsorcjum muszą być zarejestrowane i prowadzić działalność na terytorium Rzeczypospolitej Polskiej.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280" w:after="28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Zakres tematyczny:</w:t>
            </w:r>
          </w:p>
          <w:p>
            <w:pPr>
              <w:pStyle w:val="Normal"/>
              <w:spacing w:before="280" w:after="280"/>
              <w:rPr/>
            </w:pP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Technologie materiałów konstrukcyjnych, </w:t>
              <w:br/>
            </w: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Technologie materiałów fotonicznych i nanoelektronicznych, </w:t>
              <w:br/>
            </w: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Technologie materiałów funkcjonalnych i materiałów o projektowanych właściwościach, </w:t>
            </w: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Technologie materiałów dla magazynowania i przesyłu energii.</w:t>
            </w:r>
          </w:p>
          <w:p>
            <w:pPr>
              <w:pStyle w:val="Normal"/>
              <w:spacing w:before="280" w:after="28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Dofinansowanie udzielane jest na realizację projektu, który obejmuje:</w:t>
            </w:r>
          </w:p>
          <w:p>
            <w:pPr>
              <w:pStyle w:val="Normal"/>
              <w:spacing w:before="280" w:after="28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fazę badawczą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(FAZA A), w ramach której możliwe jest finansowanie badań podstawowych, badań przemysłowych i prac rozwojowych, z zastrzeżeniem, że projekt musi obejmować badania przemysłowe lub prace rozwojowe. </w:t>
            </w:r>
          </w:p>
          <w:p>
            <w:pPr>
              <w:pStyle w:val="Normal"/>
              <w:spacing w:before="280" w:after="28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fazę przygotowań do wdrożenia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(FAZA B), w ramach której możliwe jest finansowanie wyłącznie prac przedwdrożeniowych. </w:t>
            </w:r>
          </w:p>
          <w:p>
            <w:pPr>
              <w:pStyle w:val="Normal"/>
              <w:spacing w:before="280" w:after="28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Budżet konkursu: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Środki przeznaczone na dofinansowanie realizacji projektów wyłonionych w konkursie wynoszą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197 000 000 PLN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(słownie: sto dziewięćdziesiąt siedem milionów złotych).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Zasady finansowania projektów: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Minimalna wartość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kosztów kwalifikowalnych projektu wynosi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mln PLN.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Maksymalna wartość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dofinansowania wynosi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 mln PLN.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Poziom dofinansowania dla przedsiębiorstw: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  <w:tbl>
            <w:tblPr>
              <w:tblW w:w="7826" w:type="dxa"/>
              <w:jc w:val="left"/>
              <w:tblInd w:w="16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080"/>
              <w:gridCol w:w="1065"/>
              <w:gridCol w:w="1590"/>
              <w:gridCol w:w="1200"/>
              <w:gridCol w:w="1590"/>
              <w:gridCol w:w="1301"/>
            </w:tblGrid>
            <w:tr>
              <w:trPr/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Status przedsięb.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badania przemysł.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badania przemysł. z uwzględnieniem premii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prace rozwojowe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prace rozwojowe z uwzględnieniem premii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prace przedwdroż. – de minimis</w:t>
                  </w:r>
                </w:p>
              </w:tc>
            </w:tr>
            <w:tr>
              <w:trPr/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Mikro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</w:tr>
            <w:tr>
              <w:trPr/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Małe 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</w:tr>
            <w:tr>
              <w:trPr/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Średnie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</w:tr>
            <w:tr>
              <w:trPr/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DEEAF6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Inne niż MŚP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Poziom dofinansowania dla jednostek naukowych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na realizację badań podstawowych, badań przemysłowych i prac rozwojowych wynosi do 100% kosztów kwalifikowalnych, w przypadku gdy projekt jest realizowany w ramach ich działalności niegospodarczej. Jednostki naukowe nie mogą ubiegać się o dofinansowanie prac przedwdrożeniowych.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Inne ważne informacje: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Projekt musi obejmować FAZĘ A oraz FAZĘ B, przy czym: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 dofinansowanie badań podstawowych w FAZIE A mogą ubiegać się wyłącznie jednostki naukowe, jeżeli jest to uzasadnione specyfiką projektu.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FAZA B może być realizowana wyłącznie przez przedsiębiorstwo.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Limit podwykonawstwa dla badań przemysłowych i prac rozwojowych: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 dla przedsiębiorstwa: 50% kosztów kwalifikowalnych;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dla jednostki naukowej: 10% kosztów kwalifikowalnych.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Limit podwykonawstwa dla prac przedwdrożeniowych: 70% kosztów kwalifikowalnych.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Nabór wniosków o dofinansowanie odbywa się 30.12.2019 r. – 30.03.2020 r. (do godziny 16.00).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Szczegółowe informacje na temat konkursu znajdują się na stronie internetowej: </w:t>
            </w:r>
          </w:p>
          <w:p>
            <w:pPr>
              <w:pStyle w:val="Normal"/>
              <w:shd w:fill="FFFFFF" w:val="clear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Style w:val="Czeinternetowe"/>
                </w:rPr>
                <w:t>https://www.ncbr.gov.pl/o-centrum/aktualnosci/szczegoly-aktualnosci/news/ogloszenie-iii-konkursu-techmatstrateg-59753/</w:t>
              </w:r>
            </w:hyperlink>
          </w:p>
          <w:p>
            <w:pPr>
              <w:pStyle w:val="Normal"/>
              <w:shd w:fill="FFFFFF" w:val="clear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Wniosek o dofinansowanie należy przygotować zgodnie z Instrukcją wypełniania wniosku o dofinansowanie.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Formularz wniosku należy złożyć wyłącznie przy użyciu Generatora Wniosków w systemie informatycznym IP (link do systemu – aktywny od 30 grudnia 2019 r.).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Ari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br.gov.pl/o-centrum/aktualnosci/szczegoly-aktualnosci/news/ogloszenie-iii-konkursu-techmatstrateg-59753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2</Pages>
  <Words>445</Words>
  <Characters>3010</Characters>
  <CharactersWithSpaces>3471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2019-11-19T11:52:00Z</dcterms:created>
  <dc:creator/>
  <dc:description/>
  <dc:language>pl-PL</dc:language>
  <cp:lastModifiedBy/>
  <dcterms:modified xsi:type="dcterms:W3CDTF">2019-11-19T11:53:35Z</dcterms:modified>
  <cp:revision>1</cp:revision>
  <dc:subject/>
  <dc:title/>
</cp:coreProperties>
</file>