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A95A" w14:textId="77777777" w:rsidR="0008481B" w:rsidRPr="000F2588" w:rsidRDefault="009A2255" w:rsidP="0008481B">
      <w:pPr>
        <w:spacing w:line="360" w:lineRule="auto"/>
        <w:jc w:val="center"/>
        <w:rPr>
          <w:b/>
        </w:rPr>
      </w:pPr>
      <w:r w:rsidRPr="000F2588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56560B0" wp14:editId="3D3AF49D">
            <wp:simplePos x="0" y="0"/>
            <wp:positionH relativeFrom="column">
              <wp:posOffset>152400</wp:posOffset>
            </wp:positionH>
            <wp:positionV relativeFrom="paragraph">
              <wp:posOffset>-73660</wp:posOffset>
            </wp:positionV>
            <wp:extent cx="798830" cy="1254125"/>
            <wp:effectExtent l="0" t="0" r="127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5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DDA42" w14:textId="77777777" w:rsidR="0008481B" w:rsidRPr="000F2588" w:rsidRDefault="0008481B" w:rsidP="0008481B">
      <w:pPr>
        <w:spacing w:line="360" w:lineRule="auto"/>
        <w:jc w:val="center"/>
        <w:rPr>
          <w:b/>
        </w:rPr>
      </w:pPr>
    </w:p>
    <w:p w14:paraId="041AD37F" w14:textId="77777777" w:rsidR="009A2255" w:rsidRPr="000F2588" w:rsidRDefault="009A2255" w:rsidP="0008481B">
      <w:pPr>
        <w:spacing w:line="360" w:lineRule="auto"/>
        <w:jc w:val="center"/>
        <w:rPr>
          <w:b/>
        </w:rPr>
      </w:pPr>
    </w:p>
    <w:p w14:paraId="1430677C" w14:textId="77777777" w:rsidR="009A2255" w:rsidRPr="000F2588" w:rsidRDefault="009A2255" w:rsidP="0008481B">
      <w:pPr>
        <w:spacing w:line="360" w:lineRule="auto"/>
        <w:jc w:val="center"/>
        <w:rPr>
          <w:b/>
        </w:rPr>
      </w:pPr>
    </w:p>
    <w:p w14:paraId="1FFECA4E" w14:textId="5102AC07" w:rsidR="0008481B" w:rsidRPr="000F2588" w:rsidRDefault="009A2255" w:rsidP="009A2255">
      <w:pPr>
        <w:spacing w:line="360" w:lineRule="auto"/>
        <w:ind w:left="2832"/>
        <w:rPr>
          <w:b/>
        </w:rPr>
      </w:pPr>
      <w:r w:rsidRPr="000F2588">
        <w:rPr>
          <w:b/>
        </w:rPr>
        <w:t xml:space="preserve">   </w:t>
      </w:r>
      <w:r w:rsidR="0008481B" w:rsidRPr="000F2588">
        <w:rPr>
          <w:b/>
        </w:rPr>
        <w:t xml:space="preserve">ZARZĄDZENIE Nr </w:t>
      </w:r>
      <w:r w:rsidR="005E5BAE">
        <w:rPr>
          <w:b/>
        </w:rPr>
        <w:t>51</w:t>
      </w:r>
      <w:r w:rsidR="00F379C9" w:rsidRPr="000F2588">
        <w:rPr>
          <w:b/>
        </w:rPr>
        <w:t>/</w:t>
      </w:r>
      <w:r w:rsidR="0008481B" w:rsidRPr="000F2588">
        <w:rPr>
          <w:b/>
        </w:rPr>
        <w:t>2019</w:t>
      </w:r>
    </w:p>
    <w:p w14:paraId="0CA3C60A" w14:textId="77777777" w:rsidR="0008481B" w:rsidRPr="000F2588" w:rsidRDefault="0008481B" w:rsidP="0008481B">
      <w:pPr>
        <w:spacing w:line="360" w:lineRule="auto"/>
        <w:jc w:val="center"/>
        <w:rPr>
          <w:b/>
        </w:rPr>
      </w:pPr>
      <w:r w:rsidRPr="000F2588">
        <w:rPr>
          <w:b/>
        </w:rPr>
        <w:t>Rektora Politechniki Łódzkiej</w:t>
      </w:r>
    </w:p>
    <w:p w14:paraId="01F12DDA" w14:textId="3FE8F650" w:rsidR="0008481B" w:rsidRPr="000F2588" w:rsidRDefault="0008481B" w:rsidP="0008481B">
      <w:pPr>
        <w:spacing w:line="360" w:lineRule="auto"/>
        <w:jc w:val="center"/>
        <w:rPr>
          <w:b/>
        </w:rPr>
      </w:pPr>
      <w:r w:rsidRPr="000F2588">
        <w:rPr>
          <w:b/>
        </w:rPr>
        <w:t xml:space="preserve">z dnia </w:t>
      </w:r>
      <w:r w:rsidR="005E5BAE">
        <w:rPr>
          <w:b/>
        </w:rPr>
        <w:t>23</w:t>
      </w:r>
      <w:r w:rsidR="00F379C9" w:rsidRPr="000F2588">
        <w:rPr>
          <w:b/>
        </w:rPr>
        <w:t xml:space="preserve"> września </w:t>
      </w:r>
      <w:r w:rsidRPr="000F2588">
        <w:rPr>
          <w:b/>
        </w:rPr>
        <w:t>2019 r.</w:t>
      </w:r>
    </w:p>
    <w:p w14:paraId="1C78AADC" w14:textId="77777777" w:rsidR="0008481B" w:rsidRPr="000F2588" w:rsidRDefault="0008481B" w:rsidP="0008481B">
      <w:pPr>
        <w:spacing w:line="360" w:lineRule="auto"/>
        <w:jc w:val="center"/>
        <w:rPr>
          <w:b/>
        </w:rPr>
      </w:pPr>
    </w:p>
    <w:p w14:paraId="5C3F8946" w14:textId="77777777" w:rsidR="0008481B" w:rsidRPr="000F2588" w:rsidRDefault="0008481B" w:rsidP="0008481B">
      <w:pPr>
        <w:spacing w:line="360" w:lineRule="auto"/>
        <w:jc w:val="center"/>
        <w:rPr>
          <w:b/>
        </w:rPr>
      </w:pPr>
      <w:r w:rsidRPr="000F2588">
        <w:rPr>
          <w:b/>
        </w:rPr>
        <w:t xml:space="preserve">w sprawie wprowadzenia Regulaminu wewnętrznej polityki </w:t>
      </w:r>
      <w:proofErr w:type="spellStart"/>
      <w:r w:rsidRPr="000F2588">
        <w:rPr>
          <w:b/>
        </w:rPr>
        <w:t>antymobbingowej</w:t>
      </w:r>
      <w:proofErr w:type="spellEnd"/>
      <w:r w:rsidRPr="000F2588">
        <w:rPr>
          <w:b/>
        </w:rPr>
        <w:t xml:space="preserve"> Politechniki Łódzkiej</w:t>
      </w:r>
    </w:p>
    <w:p w14:paraId="0C821AA0" w14:textId="77777777" w:rsidR="0008481B" w:rsidRPr="000F2588" w:rsidRDefault="0008481B" w:rsidP="0008481B"/>
    <w:p w14:paraId="76441795" w14:textId="77777777" w:rsidR="0008481B" w:rsidRPr="000F2588" w:rsidRDefault="0008481B" w:rsidP="0008481B"/>
    <w:p w14:paraId="2D499675" w14:textId="77777777" w:rsidR="0008481B" w:rsidRPr="000F2588" w:rsidRDefault="0008481B" w:rsidP="0008481B">
      <w:pPr>
        <w:spacing w:line="360" w:lineRule="auto"/>
        <w:jc w:val="both"/>
      </w:pPr>
    </w:p>
    <w:p w14:paraId="7B1DCC8F" w14:textId="3124E971" w:rsidR="0008481B" w:rsidRPr="000F2588" w:rsidRDefault="00B702EB" w:rsidP="0008481B">
      <w:pPr>
        <w:spacing w:line="360" w:lineRule="auto"/>
        <w:jc w:val="both"/>
      </w:pPr>
      <w:r w:rsidRPr="00674EF5">
        <w:rPr>
          <w:rFonts w:ascii="Arial" w:hAnsi="Arial" w:cs="Arial"/>
          <w:color w:val="000000" w:themeColor="text1"/>
          <w:sz w:val="24"/>
          <w:szCs w:val="24"/>
        </w:rPr>
        <w:t>Działając na podstawie art. 23 ust. 1</w:t>
      </w:r>
      <w:r w:rsidR="007777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4EF5">
        <w:rPr>
          <w:rFonts w:ascii="Arial" w:hAnsi="Arial" w:cs="Arial"/>
          <w:color w:val="000000" w:themeColor="text1"/>
          <w:sz w:val="24"/>
          <w:szCs w:val="24"/>
        </w:rPr>
        <w:t xml:space="preserve">ustawy z dnia 20 lipca 2018 r. – Prawo </w:t>
      </w:r>
      <w:r w:rsidR="005E5BAE">
        <w:rPr>
          <w:rFonts w:ascii="Arial" w:hAnsi="Arial" w:cs="Arial"/>
          <w:color w:val="000000" w:themeColor="text1"/>
          <w:sz w:val="24"/>
          <w:szCs w:val="24"/>
        </w:rPr>
        <w:br/>
      </w:r>
      <w:r w:rsidRPr="00674EF5">
        <w:rPr>
          <w:rFonts w:ascii="Arial" w:hAnsi="Arial" w:cs="Arial"/>
          <w:color w:val="000000" w:themeColor="text1"/>
          <w:sz w:val="24"/>
          <w:szCs w:val="24"/>
        </w:rPr>
        <w:t xml:space="preserve">o szkolnictwie wyższym i nauce (Dz. U. z 2018 r. poz. 1668, z </w:t>
      </w:r>
      <w:proofErr w:type="spellStart"/>
      <w:r w:rsidRPr="00674EF5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674EF5">
        <w:rPr>
          <w:rFonts w:ascii="Arial" w:hAnsi="Arial" w:cs="Arial"/>
          <w:color w:val="000000" w:themeColor="text1"/>
          <w:sz w:val="24"/>
          <w:szCs w:val="24"/>
        </w:rPr>
        <w:t xml:space="preserve">. zm.) </w:t>
      </w:r>
      <w:r w:rsidR="00777709" w:rsidRPr="000F2588">
        <w:t xml:space="preserve">w związku </w:t>
      </w:r>
      <w:r w:rsidR="005E5BAE">
        <w:br/>
      </w:r>
      <w:r w:rsidR="00777709" w:rsidRPr="000F2588">
        <w:t>z art. 94</w:t>
      </w:r>
      <w:r w:rsidR="00777709" w:rsidRPr="000F2588">
        <w:rPr>
          <w:vertAlign w:val="superscript"/>
        </w:rPr>
        <w:t>3</w:t>
      </w:r>
      <w:r w:rsidR="00777709" w:rsidRPr="000F2588">
        <w:t xml:space="preserve"> ustawy z dnia 26 czerwca 1974 r. Kodeks pracy (tj. Dz. U. z 2019 r., poz. 1040 </w:t>
      </w:r>
      <w:r w:rsidR="005E5BAE">
        <w:br/>
      </w:r>
      <w:r w:rsidR="00777709" w:rsidRPr="000F2588">
        <w:t xml:space="preserve">z </w:t>
      </w:r>
      <w:proofErr w:type="spellStart"/>
      <w:r w:rsidR="00777709" w:rsidRPr="000F2588">
        <w:t>późn</w:t>
      </w:r>
      <w:proofErr w:type="spellEnd"/>
      <w:r w:rsidR="00777709" w:rsidRPr="000F2588">
        <w:t>. zm.)</w:t>
      </w:r>
      <w:r w:rsidR="00777709">
        <w:t xml:space="preserve">, § 15 ust 2 pkt 7 i ust. 3 Statutu </w:t>
      </w:r>
      <w:r w:rsidR="00777709" w:rsidRPr="000F2588">
        <w:t>Politechniki Łódzkiej</w:t>
      </w:r>
      <w:r w:rsidR="00777709">
        <w:t xml:space="preserve"> w zw. z art. 227 ust. </w:t>
      </w:r>
      <w:r w:rsidR="005E5BAE">
        <w:br/>
      </w:r>
      <w:r w:rsidR="00777709">
        <w:t xml:space="preserve">3 </w:t>
      </w:r>
      <w:r w:rsidR="00777709" w:rsidRPr="00674EF5">
        <w:rPr>
          <w:rFonts w:ascii="Arial" w:hAnsi="Arial" w:cs="Arial"/>
          <w:color w:val="000000" w:themeColor="text1"/>
          <w:sz w:val="24"/>
          <w:szCs w:val="24"/>
        </w:rPr>
        <w:t>ustawy z dnia 3</w:t>
      </w:r>
      <w:r w:rsidR="00777709">
        <w:rPr>
          <w:rFonts w:ascii="Arial" w:hAnsi="Arial" w:cs="Arial"/>
          <w:color w:val="000000" w:themeColor="text1"/>
          <w:sz w:val="24"/>
          <w:szCs w:val="24"/>
        </w:rPr>
        <w:t> </w:t>
      </w:r>
      <w:r w:rsidR="00777709" w:rsidRPr="00674EF5">
        <w:rPr>
          <w:rFonts w:ascii="Arial" w:hAnsi="Arial" w:cs="Arial"/>
          <w:color w:val="000000" w:themeColor="text1"/>
          <w:sz w:val="24"/>
          <w:szCs w:val="24"/>
        </w:rPr>
        <w:t xml:space="preserve">lipca 2018 r. Przepisy wprowadzające ustawę - Prawo </w:t>
      </w:r>
      <w:r w:rsidR="005E5BAE">
        <w:rPr>
          <w:rFonts w:ascii="Arial" w:hAnsi="Arial" w:cs="Arial"/>
          <w:color w:val="000000" w:themeColor="text1"/>
          <w:sz w:val="24"/>
          <w:szCs w:val="24"/>
        </w:rPr>
        <w:br/>
      </w:r>
      <w:r w:rsidR="00777709" w:rsidRPr="00674EF5">
        <w:rPr>
          <w:rFonts w:ascii="Arial" w:hAnsi="Arial" w:cs="Arial"/>
          <w:color w:val="000000" w:themeColor="text1"/>
          <w:sz w:val="24"/>
          <w:szCs w:val="24"/>
        </w:rPr>
        <w:t>o szkolnictwie wyższym i nauce (Dz.U. z 2018 r. poz.1669 z późn.zm.)</w:t>
      </w:r>
      <w:r w:rsidR="007777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481B" w:rsidRPr="000F2588">
        <w:t xml:space="preserve">zarządzam: </w:t>
      </w:r>
    </w:p>
    <w:p w14:paraId="413D83C8" w14:textId="77777777" w:rsidR="0008481B" w:rsidRPr="000F2588" w:rsidRDefault="0008481B" w:rsidP="0008481B">
      <w:pPr>
        <w:spacing w:line="360" w:lineRule="auto"/>
        <w:jc w:val="both"/>
      </w:pPr>
    </w:p>
    <w:p w14:paraId="6FF576FB" w14:textId="77777777" w:rsidR="0008481B" w:rsidRPr="000F2588" w:rsidRDefault="0008481B" w:rsidP="0008481B">
      <w:pPr>
        <w:spacing w:line="360" w:lineRule="auto"/>
        <w:ind w:left="426" w:hanging="426"/>
        <w:jc w:val="center"/>
      </w:pPr>
      <w:r w:rsidRPr="000F2588">
        <w:t>§ 1.</w:t>
      </w:r>
    </w:p>
    <w:p w14:paraId="36E26788" w14:textId="77777777" w:rsidR="0008481B" w:rsidRPr="000F2588" w:rsidRDefault="0008481B" w:rsidP="0008481B">
      <w:pPr>
        <w:spacing w:line="360" w:lineRule="auto"/>
        <w:jc w:val="both"/>
      </w:pPr>
      <w:r w:rsidRPr="000F2588">
        <w:t xml:space="preserve">Wprowadzam Regulamin wewnętrznej Polityki </w:t>
      </w:r>
      <w:proofErr w:type="spellStart"/>
      <w:r w:rsidRPr="000F2588">
        <w:t>antymobbingowej</w:t>
      </w:r>
      <w:proofErr w:type="spellEnd"/>
      <w:r w:rsidRPr="000F2588">
        <w:t xml:space="preserve"> Politechniki Łódzkiej, stanowiący załącznik nr 1 do niniejszego zarządzenia. </w:t>
      </w:r>
    </w:p>
    <w:p w14:paraId="26AA990F" w14:textId="77777777" w:rsidR="0008481B" w:rsidRPr="000F2588" w:rsidRDefault="0008481B" w:rsidP="0008481B">
      <w:pPr>
        <w:spacing w:line="360" w:lineRule="auto"/>
        <w:jc w:val="both"/>
      </w:pPr>
    </w:p>
    <w:p w14:paraId="79BEA751" w14:textId="77777777" w:rsidR="0008481B" w:rsidRPr="000F2588" w:rsidRDefault="0008481B" w:rsidP="0008481B">
      <w:pPr>
        <w:spacing w:line="360" w:lineRule="auto"/>
        <w:jc w:val="center"/>
      </w:pPr>
      <w:r w:rsidRPr="000F2588">
        <w:t>§ 2.</w:t>
      </w:r>
    </w:p>
    <w:p w14:paraId="2225CA96" w14:textId="77777777" w:rsidR="0008481B" w:rsidRPr="000F2588" w:rsidRDefault="0008481B" w:rsidP="0008481B">
      <w:pPr>
        <w:spacing w:line="360" w:lineRule="auto"/>
        <w:jc w:val="both"/>
      </w:pPr>
      <w:r w:rsidRPr="000F2588">
        <w:t xml:space="preserve">Zarządzenie wchodzi w życie z dniem </w:t>
      </w:r>
      <w:r w:rsidR="00A95C2F" w:rsidRPr="000F2588">
        <w:t>1 października 2019</w:t>
      </w:r>
      <w:r w:rsidRPr="000F2588">
        <w:t xml:space="preserve">. </w:t>
      </w:r>
    </w:p>
    <w:p w14:paraId="1ED98F39" w14:textId="77777777" w:rsidR="0008481B" w:rsidRPr="000F2588" w:rsidRDefault="0008481B" w:rsidP="0008481B">
      <w:pPr>
        <w:jc w:val="both"/>
      </w:pPr>
    </w:p>
    <w:p w14:paraId="1B583010" w14:textId="77777777" w:rsidR="0008481B" w:rsidRPr="000F2588" w:rsidRDefault="0008481B" w:rsidP="0008481B">
      <w:pPr>
        <w:jc w:val="both"/>
      </w:pPr>
    </w:p>
    <w:p w14:paraId="21388BB0" w14:textId="77777777" w:rsidR="0008481B" w:rsidRPr="000F2588" w:rsidRDefault="0008481B" w:rsidP="0008481B">
      <w:pPr>
        <w:jc w:val="both"/>
      </w:pPr>
    </w:p>
    <w:p w14:paraId="1153A96B" w14:textId="77777777" w:rsidR="0008481B" w:rsidRPr="000F2588" w:rsidRDefault="0008481B" w:rsidP="0008481B"/>
    <w:p w14:paraId="5197367A" w14:textId="77777777" w:rsidR="0008481B" w:rsidRPr="000F2588" w:rsidRDefault="0008481B" w:rsidP="0008481B"/>
    <w:p w14:paraId="3111C089" w14:textId="77777777" w:rsidR="0008481B" w:rsidRPr="000F2588" w:rsidRDefault="0008481B" w:rsidP="0008481B">
      <w:pPr>
        <w:ind w:left="4956" w:firstLine="708"/>
      </w:pPr>
      <w:r w:rsidRPr="000F2588">
        <w:t>R E K T O R</w:t>
      </w:r>
    </w:p>
    <w:p w14:paraId="111415EC" w14:textId="77777777" w:rsidR="0008481B" w:rsidRPr="000F2588" w:rsidRDefault="0008481B" w:rsidP="0008481B">
      <w:pPr>
        <w:ind w:left="4956"/>
      </w:pPr>
      <w:r w:rsidRPr="000F2588">
        <w:t>POLITECHNIKI ŁÓDZKIEJ</w:t>
      </w:r>
    </w:p>
    <w:p w14:paraId="4A99C385" w14:textId="77777777" w:rsidR="0008481B" w:rsidRPr="000F2588" w:rsidRDefault="0008481B" w:rsidP="0008481B">
      <w:pPr>
        <w:ind w:left="4956"/>
      </w:pPr>
    </w:p>
    <w:p w14:paraId="07EE956B" w14:textId="77777777" w:rsidR="0008481B" w:rsidRPr="000F2588" w:rsidRDefault="0008481B" w:rsidP="0008481B">
      <w:pPr>
        <w:ind w:left="4956"/>
      </w:pPr>
    </w:p>
    <w:p w14:paraId="66E6E403" w14:textId="77777777" w:rsidR="0008481B" w:rsidRPr="000F2588" w:rsidRDefault="0008481B" w:rsidP="0008481B">
      <w:pPr>
        <w:ind w:left="4956"/>
      </w:pPr>
    </w:p>
    <w:p w14:paraId="42C6457E" w14:textId="77777777" w:rsidR="0008481B" w:rsidRPr="000F2588" w:rsidRDefault="0008481B" w:rsidP="0008481B">
      <w:pPr>
        <w:ind w:left="4956"/>
      </w:pPr>
    </w:p>
    <w:p w14:paraId="4B64DD05" w14:textId="77777777" w:rsidR="0008481B" w:rsidRPr="000F2588" w:rsidRDefault="0008481B" w:rsidP="0008481B">
      <w:pPr>
        <w:ind w:left="4956"/>
      </w:pPr>
      <w:r w:rsidRPr="000F2588">
        <w:t>……………………………………….</w:t>
      </w:r>
    </w:p>
    <w:p w14:paraId="777FF862" w14:textId="77777777" w:rsidR="0008481B" w:rsidRPr="000F2588" w:rsidRDefault="0008481B" w:rsidP="0008481B"/>
    <w:p w14:paraId="4E426E72" w14:textId="592BE823" w:rsidR="0008481B" w:rsidRPr="000F2588" w:rsidRDefault="0008481B" w:rsidP="001E62A7">
      <w:pPr>
        <w:spacing w:after="160"/>
        <w:jc w:val="right"/>
      </w:pPr>
      <w:r w:rsidRPr="000F2588">
        <w:br w:type="page"/>
      </w:r>
      <w:r w:rsidRPr="000F2588">
        <w:lastRenderedPageBreak/>
        <w:t>Załącznik nr 1</w:t>
      </w:r>
      <w:r w:rsidR="001E62A7">
        <w:br/>
      </w:r>
      <w:r w:rsidRPr="000F2588">
        <w:t xml:space="preserve">do Zarządzenia Nr </w:t>
      </w:r>
      <w:r w:rsidR="005E5BAE">
        <w:t>51</w:t>
      </w:r>
      <w:r w:rsidRPr="000F2588">
        <w:t>/2019</w:t>
      </w:r>
      <w:r w:rsidR="001E62A7">
        <w:br/>
      </w:r>
      <w:r w:rsidRPr="000F2588">
        <w:t>Rektora Politechniki Łódzkiej</w:t>
      </w:r>
      <w:r w:rsidR="001E62A7">
        <w:br/>
      </w:r>
      <w:r w:rsidR="005E5BAE">
        <w:t>z dnia 23</w:t>
      </w:r>
      <w:r w:rsidR="00F379C9" w:rsidRPr="000F2588">
        <w:t xml:space="preserve"> września 2019 r</w:t>
      </w:r>
      <w:r w:rsidRPr="000F2588">
        <w:t>.</w:t>
      </w:r>
    </w:p>
    <w:p w14:paraId="6593F92F" w14:textId="77777777" w:rsidR="0008481B" w:rsidRPr="000F2588" w:rsidRDefault="0008481B" w:rsidP="0008481B">
      <w:pPr>
        <w:jc w:val="right"/>
      </w:pPr>
    </w:p>
    <w:p w14:paraId="78CB5DE2" w14:textId="77777777" w:rsidR="0008481B" w:rsidRPr="000F2588" w:rsidRDefault="0008481B" w:rsidP="0008481B">
      <w:pPr>
        <w:jc w:val="right"/>
      </w:pPr>
    </w:p>
    <w:p w14:paraId="2CDD90D4" w14:textId="77777777" w:rsidR="0008481B" w:rsidRPr="000F2588" w:rsidRDefault="0008481B" w:rsidP="0008481B">
      <w:pPr>
        <w:jc w:val="right"/>
      </w:pPr>
    </w:p>
    <w:p w14:paraId="4B09D3E1" w14:textId="77777777" w:rsidR="0008481B" w:rsidRPr="000F2588" w:rsidRDefault="0008481B" w:rsidP="0008481B">
      <w:pPr>
        <w:spacing w:line="360" w:lineRule="auto"/>
        <w:jc w:val="center"/>
      </w:pPr>
      <w:r w:rsidRPr="000F2588">
        <w:t>REGULAMIN WEWNĘTRZNEJ POLITYKI ANTYMOBBINGOWEJ POLITECHNIKI ŁÓDZKIEJ</w:t>
      </w:r>
    </w:p>
    <w:p w14:paraId="531247C9" w14:textId="77777777" w:rsidR="0008481B" w:rsidRPr="000F2588" w:rsidRDefault="0008481B" w:rsidP="0008481B">
      <w:pPr>
        <w:spacing w:line="360" w:lineRule="auto"/>
      </w:pPr>
    </w:p>
    <w:p w14:paraId="7F58DD2E" w14:textId="77777777" w:rsidR="0008481B" w:rsidRPr="000F2588" w:rsidRDefault="0008481B" w:rsidP="0008481B">
      <w:pPr>
        <w:spacing w:line="360" w:lineRule="auto"/>
      </w:pPr>
    </w:p>
    <w:p w14:paraId="0F2A34E3" w14:textId="77777777" w:rsidR="0008481B" w:rsidRPr="000F2588" w:rsidRDefault="0008481B" w:rsidP="0008481B">
      <w:pPr>
        <w:spacing w:line="360" w:lineRule="auto"/>
        <w:jc w:val="center"/>
      </w:pPr>
      <w:r w:rsidRPr="000F2588">
        <w:t>§ 1.</w:t>
      </w:r>
    </w:p>
    <w:p w14:paraId="613B8FA7" w14:textId="77777777" w:rsidR="0008481B" w:rsidRPr="000F2588" w:rsidRDefault="0008481B" w:rsidP="0008481B">
      <w:pPr>
        <w:spacing w:line="360" w:lineRule="auto"/>
        <w:jc w:val="both"/>
      </w:pPr>
      <w:r w:rsidRPr="000F2588">
        <w:t xml:space="preserve">Polityka </w:t>
      </w:r>
      <w:proofErr w:type="spellStart"/>
      <w:r w:rsidRPr="000F2588">
        <w:t>antymobbingowa</w:t>
      </w:r>
      <w:proofErr w:type="spellEnd"/>
      <w:r w:rsidRPr="000F2588">
        <w:t xml:space="preserve"> ustala zasady zapobiegania i przeciwdziałania zjawisku </w:t>
      </w:r>
      <w:proofErr w:type="spellStart"/>
      <w:r w:rsidRPr="000F2588">
        <w:t>mobbingu</w:t>
      </w:r>
      <w:proofErr w:type="spellEnd"/>
      <w:r w:rsidRPr="000F2588">
        <w:t xml:space="preserve"> w Politechnice Łódzkiej.</w:t>
      </w:r>
    </w:p>
    <w:p w14:paraId="4502D36F" w14:textId="77777777" w:rsidR="0008481B" w:rsidRPr="000F2588" w:rsidRDefault="0008481B" w:rsidP="0008481B">
      <w:pPr>
        <w:spacing w:line="360" w:lineRule="auto"/>
        <w:jc w:val="both"/>
      </w:pPr>
    </w:p>
    <w:p w14:paraId="18761408" w14:textId="77777777" w:rsidR="0008481B" w:rsidRPr="000F2588" w:rsidRDefault="0008481B" w:rsidP="0008481B">
      <w:pPr>
        <w:spacing w:line="360" w:lineRule="auto"/>
        <w:jc w:val="center"/>
      </w:pPr>
      <w:r w:rsidRPr="000F2588">
        <w:t>§ 2.</w:t>
      </w:r>
    </w:p>
    <w:p w14:paraId="04EB2E0F" w14:textId="77777777" w:rsidR="0008481B" w:rsidRPr="000F2588" w:rsidRDefault="0008481B" w:rsidP="0008481B">
      <w:pPr>
        <w:spacing w:line="360" w:lineRule="auto"/>
        <w:jc w:val="both"/>
      </w:pPr>
      <w:r w:rsidRPr="000F2588">
        <w:t>Ilekroć w Regulaminie jest mowa o:</w:t>
      </w:r>
    </w:p>
    <w:p w14:paraId="4D529CF0" w14:textId="77777777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 w:rsidRPr="000F2588">
        <w:rPr>
          <w:b/>
        </w:rPr>
        <w:t>Mobbingu</w:t>
      </w:r>
      <w:proofErr w:type="spellEnd"/>
      <w:r w:rsidRPr="000F2588">
        <w:t xml:space="preserve"> – należy przez to rozumieć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</w:t>
      </w:r>
      <w:r w:rsidR="00F379C9" w:rsidRPr="000F2588">
        <w:t>ów (Art. 94³ § 2 Kodeksu pracy),</w:t>
      </w:r>
      <w:r w:rsidR="005762E3" w:rsidRPr="000F2588">
        <w:t xml:space="preserve"> </w:t>
      </w:r>
    </w:p>
    <w:p w14:paraId="755B7275" w14:textId="0C44F313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F2588">
        <w:rPr>
          <w:b/>
        </w:rPr>
        <w:t xml:space="preserve">Komisji </w:t>
      </w:r>
      <w:proofErr w:type="spellStart"/>
      <w:r w:rsidRPr="000F2588">
        <w:rPr>
          <w:b/>
        </w:rPr>
        <w:t>Antymobbingowej</w:t>
      </w:r>
      <w:proofErr w:type="spellEnd"/>
      <w:r w:rsidRPr="000F2588">
        <w:t>, zwanej dalej „Komisją” – rozumie się przez to zespół powołany przez pracodawcę do rozpatrywania</w:t>
      </w:r>
      <w:r w:rsidR="00076B21">
        <w:t xml:space="preserve"> zawiadomień</w:t>
      </w:r>
      <w:r w:rsidRPr="000F2588">
        <w:t xml:space="preserve"> dotyczących </w:t>
      </w:r>
      <w:proofErr w:type="spellStart"/>
      <w:r w:rsidRPr="000F2588">
        <w:t>mobbingu</w:t>
      </w:r>
      <w:proofErr w:type="spellEnd"/>
      <w:r w:rsidRPr="000F2588">
        <w:t>,</w:t>
      </w:r>
    </w:p>
    <w:p w14:paraId="5042F973" w14:textId="77777777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F2588">
        <w:rPr>
          <w:b/>
        </w:rPr>
        <w:t>Pracodawcy</w:t>
      </w:r>
      <w:r w:rsidRPr="000F2588">
        <w:t xml:space="preserve"> – rozumie się przez to Politechnikę Łódzką w Łodzi, </w:t>
      </w:r>
    </w:p>
    <w:p w14:paraId="34688FDD" w14:textId="77777777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F2588">
        <w:rPr>
          <w:b/>
        </w:rPr>
        <w:t>Pracowniku</w:t>
      </w:r>
      <w:r w:rsidRPr="000F2588">
        <w:t xml:space="preserve"> – rozumie się przez to osobę pozostającą w stosunku pracy z Politechniką Łódzką w Łodzi,</w:t>
      </w:r>
    </w:p>
    <w:p w14:paraId="2A63D805" w14:textId="77777777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F2588">
        <w:rPr>
          <w:b/>
        </w:rPr>
        <w:t xml:space="preserve">Rektorze </w:t>
      </w:r>
      <w:r w:rsidRPr="000F2588">
        <w:t>– rozumie się przez to Rektora Politechniki Łódzkiej,</w:t>
      </w:r>
    </w:p>
    <w:p w14:paraId="5362FD46" w14:textId="41A83BA8" w:rsidR="0008481B" w:rsidRPr="000F2588" w:rsidRDefault="0008481B" w:rsidP="0008481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0F2588">
        <w:rPr>
          <w:b/>
        </w:rPr>
        <w:t>Postępowaniu dowodowym</w:t>
      </w:r>
      <w:r w:rsidRPr="000F2588">
        <w:t xml:space="preserve"> – rozumie się przez to zbiór wszystkich czynności dokonywanych przez Komisję </w:t>
      </w:r>
      <w:proofErr w:type="spellStart"/>
      <w:r w:rsidRPr="000F2588">
        <w:t>Antymobbingową</w:t>
      </w:r>
      <w:proofErr w:type="spellEnd"/>
      <w:r w:rsidRPr="000F2588">
        <w:t xml:space="preserve"> zmierzających do rozwiązania konkretnego przypadku lub problemu związanego z </w:t>
      </w:r>
      <w:proofErr w:type="spellStart"/>
      <w:r w:rsidRPr="000F2588">
        <w:t>mobbingiem</w:t>
      </w:r>
      <w:proofErr w:type="spellEnd"/>
      <w:r w:rsidRPr="000F2588">
        <w:t>, w tym wszelkiego rodzaju rozmowy, wywiady. Pojęcie postępowania dowodowego w tym przypadku nie nosi znamion postępowania dowodowego określonego przez stosowne z</w:t>
      </w:r>
      <w:r w:rsidR="00076B21">
        <w:t>apisy prawa cywilnego i karnego,</w:t>
      </w:r>
    </w:p>
    <w:p w14:paraId="179B4EE2" w14:textId="6877DF1C" w:rsidR="0008481B" w:rsidRPr="000F2588" w:rsidRDefault="0008481B" w:rsidP="005C485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 w:rsidRPr="000F2588">
        <w:rPr>
          <w:b/>
        </w:rPr>
        <w:t>Mobberze</w:t>
      </w:r>
      <w:proofErr w:type="spellEnd"/>
      <w:r w:rsidR="00076B21">
        <w:rPr>
          <w:b/>
        </w:rPr>
        <w:t xml:space="preserve"> </w:t>
      </w:r>
      <w:r w:rsidRPr="000F2588">
        <w:t xml:space="preserve">– rozumie się przez to osobę dopuszczającą się </w:t>
      </w:r>
      <w:proofErr w:type="spellStart"/>
      <w:r w:rsidRPr="000F2588">
        <w:t>mobbingu</w:t>
      </w:r>
      <w:proofErr w:type="spellEnd"/>
      <w:r w:rsidRPr="000F2588">
        <w:t xml:space="preserve"> wobec pracownika.</w:t>
      </w:r>
    </w:p>
    <w:p w14:paraId="3C2DEF85" w14:textId="77777777" w:rsidR="0008481B" w:rsidRPr="000F2588" w:rsidRDefault="0008481B" w:rsidP="0008481B">
      <w:pPr>
        <w:spacing w:line="360" w:lineRule="auto"/>
      </w:pPr>
    </w:p>
    <w:p w14:paraId="494A9CBB" w14:textId="77777777" w:rsidR="0008481B" w:rsidRPr="000F2588" w:rsidRDefault="0008481B" w:rsidP="0008481B">
      <w:pPr>
        <w:spacing w:line="360" w:lineRule="auto"/>
      </w:pPr>
    </w:p>
    <w:p w14:paraId="4E6B7C7D" w14:textId="77777777" w:rsidR="0008481B" w:rsidRPr="000F2588" w:rsidRDefault="0008481B" w:rsidP="0008481B">
      <w:pPr>
        <w:spacing w:line="360" w:lineRule="auto"/>
        <w:jc w:val="center"/>
      </w:pPr>
      <w:r w:rsidRPr="000F2588">
        <w:t>§ 3.</w:t>
      </w:r>
    </w:p>
    <w:p w14:paraId="0C9396FD" w14:textId="4C2DC930" w:rsidR="0089658E" w:rsidRPr="000F2588" w:rsidRDefault="0008481B" w:rsidP="0083439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 w:rsidRPr="000F2588">
        <w:t xml:space="preserve">Każdy Pracownik ma obowiązek zapoznać się z Regulaminem wewnętrznej Polityki </w:t>
      </w:r>
      <w:proofErr w:type="spellStart"/>
      <w:r w:rsidRPr="000F2588">
        <w:t>antymobbingowej</w:t>
      </w:r>
      <w:proofErr w:type="spellEnd"/>
      <w:r w:rsidRPr="000F2588">
        <w:t xml:space="preserve"> Politechniki Łódzkiej i złożyć oświadczenie o zapoznaniu się z jego treścią. </w:t>
      </w:r>
      <w:r w:rsidR="002B2179">
        <w:t>Wzór o</w:t>
      </w:r>
      <w:r w:rsidRPr="000F2588">
        <w:t xml:space="preserve">świadczenia stanowi </w:t>
      </w:r>
      <w:r w:rsidR="000F2588" w:rsidRPr="000F2588">
        <w:t xml:space="preserve">załącznik </w:t>
      </w:r>
      <w:r w:rsidR="00076B21">
        <w:t xml:space="preserve">nr 8 </w:t>
      </w:r>
      <w:r w:rsidR="002B2179">
        <w:t>d</w:t>
      </w:r>
      <w:r w:rsidR="000F2588" w:rsidRPr="000F2588">
        <w:t xml:space="preserve">o </w:t>
      </w:r>
      <w:r w:rsidR="002B2179">
        <w:t>Regulaminu Pracy w Politechnice Łódzkiej</w:t>
      </w:r>
      <w:r w:rsidR="000F2588" w:rsidRPr="000F2588">
        <w:t xml:space="preserve">. </w:t>
      </w:r>
    </w:p>
    <w:p w14:paraId="151417A4" w14:textId="77777777" w:rsidR="0008481B" w:rsidRPr="000F2588" w:rsidRDefault="0008481B" w:rsidP="0083439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 w:rsidRPr="000F2588">
        <w:t>Podpisane oświadczenie zostanie dołączone do akt osobowych Pracownika.</w:t>
      </w:r>
    </w:p>
    <w:p w14:paraId="3EDBBD1A" w14:textId="77777777" w:rsidR="0008481B" w:rsidRPr="000F2588" w:rsidRDefault="0008481B" w:rsidP="0083439C">
      <w:pPr>
        <w:spacing w:line="360" w:lineRule="auto"/>
        <w:jc w:val="both"/>
      </w:pPr>
    </w:p>
    <w:p w14:paraId="0EF27613" w14:textId="77777777" w:rsidR="0008481B" w:rsidRPr="000F2588" w:rsidRDefault="0008481B" w:rsidP="0083439C">
      <w:pPr>
        <w:spacing w:line="360" w:lineRule="auto"/>
        <w:jc w:val="center"/>
      </w:pPr>
      <w:r w:rsidRPr="000F2588">
        <w:t>§ 4.</w:t>
      </w:r>
    </w:p>
    <w:p w14:paraId="06A87266" w14:textId="77777777" w:rsidR="005762E3" w:rsidRPr="000F2588" w:rsidRDefault="0008481B" w:rsidP="0083439C">
      <w:pPr>
        <w:pStyle w:val="Akapitzlist"/>
        <w:numPr>
          <w:ilvl w:val="3"/>
          <w:numId w:val="8"/>
        </w:numPr>
        <w:spacing w:line="360" w:lineRule="auto"/>
        <w:ind w:left="426"/>
        <w:jc w:val="both"/>
      </w:pPr>
      <w:r w:rsidRPr="000F2588">
        <w:t xml:space="preserve">Jakiekolwiek działania lub zachowania </w:t>
      </w:r>
      <w:r w:rsidR="007660F1" w:rsidRPr="000F2588">
        <w:t>noszące znamiona</w:t>
      </w:r>
      <w:r w:rsidRPr="000F2588">
        <w:t xml:space="preserve"> </w:t>
      </w:r>
      <w:proofErr w:type="spellStart"/>
      <w:r w:rsidRPr="000F2588">
        <w:t>mobbing</w:t>
      </w:r>
      <w:r w:rsidR="007660F1" w:rsidRPr="000F2588">
        <w:t>u</w:t>
      </w:r>
      <w:proofErr w:type="spellEnd"/>
      <w:r w:rsidRPr="000F2588">
        <w:t xml:space="preserve"> nie będą w żaden sposób tolerowane przez Pracodawcę.</w:t>
      </w:r>
    </w:p>
    <w:p w14:paraId="07396F13" w14:textId="77777777" w:rsidR="005762E3" w:rsidRPr="00076B21" w:rsidRDefault="005762E3" w:rsidP="0083439C">
      <w:pPr>
        <w:pStyle w:val="Akapitzlist"/>
        <w:numPr>
          <w:ilvl w:val="3"/>
          <w:numId w:val="8"/>
        </w:numPr>
        <w:spacing w:line="360" w:lineRule="auto"/>
        <w:ind w:left="426"/>
        <w:jc w:val="both"/>
        <w:rPr>
          <w:rFonts w:cs="Tahoma"/>
        </w:rPr>
      </w:pPr>
      <w:r w:rsidRPr="00076B21">
        <w:rPr>
          <w:rFonts w:cs="Tahoma"/>
        </w:rPr>
        <w:t xml:space="preserve">Każdy Pracownik zobowiązany </w:t>
      </w:r>
      <w:r w:rsidR="00672313" w:rsidRPr="00076B21">
        <w:rPr>
          <w:rFonts w:cs="Tahoma"/>
        </w:rPr>
        <w:t xml:space="preserve">jest </w:t>
      </w:r>
      <w:r w:rsidRPr="00076B21">
        <w:rPr>
          <w:rFonts w:cs="Tahoma"/>
        </w:rPr>
        <w:t>do informowania Pracodawcy o zauważonych przejawach</w:t>
      </w:r>
      <w:r w:rsidR="001639F4" w:rsidRPr="00076B21">
        <w:rPr>
          <w:rFonts w:cs="Tahoma"/>
        </w:rPr>
        <w:t xml:space="preserve"> </w:t>
      </w:r>
      <w:proofErr w:type="spellStart"/>
      <w:r w:rsidRPr="00076B21">
        <w:rPr>
          <w:rFonts w:cs="Tahoma"/>
        </w:rPr>
        <w:t>mobbingu</w:t>
      </w:r>
      <w:proofErr w:type="spellEnd"/>
      <w:r w:rsidRPr="00076B21">
        <w:rPr>
          <w:rFonts w:cs="Tahoma"/>
        </w:rPr>
        <w:t xml:space="preserve"> mających miejsce w Uczelni.</w:t>
      </w:r>
    </w:p>
    <w:p w14:paraId="4166F256" w14:textId="77777777" w:rsidR="0008481B" w:rsidRPr="000F2588" w:rsidRDefault="0008481B" w:rsidP="0008481B">
      <w:pPr>
        <w:spacing w:line="360" w:lineRule="auto"/>
      </w:pPr>
    </w:p>
    <w:p w14:paraId="256B9D31" w14:textId="77777777" w:rsidR="0008481B" w:rsidRPr="000F2588" w:rsidRDefault="0008481B" w:rsidP="0008481B">
      <w:pPr>
        <w:spacing w:line="360" w:lineRule="auto"/>
        <w:jc w:val="center"/>
      </w:pPr>
      <w:r w:rsidRPr="000F2588">
        <w:t>§ 5.</w:t>
      </w:r>
    </w:p>
    <w:p w14:paraId="2C7A3360" w14:textId="77777777" w:rsidR="0008481B" w:rsidRPr="000F2588" w:rsidRDefault="0008481B" w:rsidP="0008481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0F2588">
        <w:t xml:space="preserve">Wszelkie działania lub zachowania Pracowników, które mogą być uznane za </w:t>
      </w:r>
      <w:proofErr w:type="spellStart"/>
      <w:r w:rsidRPr="000F2588">
        <w:t>mobbing</w:t>
      </w:r>
      <w:proofErr w:type="spellEnd"/>
      <w:r w:rsidRPr="000F2588">
        <w:t xml:space="preserve">, traktowane są jako </w:t>
      </w:r>
      <w:r w:rsidR="00927E8F" w:rsidRPr="000F2588">
        <w:t xml:space="preserve">ciężkie </w:t>
      </w:r>
      <w:r w:rsidRPr="000F2588">
        <w:t xml:space="preserve">naruszenie </w:t>
      </w:r>
      <w:r w:rsidR="00927E8F" w:rsidRPr="000F2588">
        <w:t xml:space="preserve">podstawowych obowiązków pracowniczych. </w:t>
      </w:r>
    </w:p>
    <w:p w14:paraId="6711A3CB" w14:textId="19CEFB81" w:rsidR="0008481B" w:rsidRPr="000F2588" w:rsidRDefault="0008481B" w:rsidP="0008481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0F2588">
        <w:t xml:space="preserve">W celu przeciwdziałania </w:t>
      </w:r>
      <w:proofErr w:type="spellStart"/>
      <w:r w:rsidRPr="000F2588">
        <w:t>mobbingowi</w:t>
      </w:r>
      <w:proofErr w:type="spellEnd"/>
      <w:r w:rsidRPr="000F2588">
        <w:t xml:space="preserve"> Pracodawca </w:t>
      </w:r>
      <w:r w:rsidR="00927E8F" w:rsidRPr="000F2588">
        <w:t>podejmuje</w:t>
      </w:r>
      <w:r w:rsidR="00F379C9" w:rsidRPr="000F2588">
        <w:t xml:space="preserve"> </w:t>
      </w:r>
      <w:r w:rsidRPr="000F2588">
        <w:t xml:space="preserve">działania, polegające </w:t>
      </w:r>
      <w:r w:rsidR="00352F99">
        <w:br/>
      </w:r>
      <w:r w:rsidRPr="000F2588">
        <w:t xml:space="preserve">w szczególności na promowaniu pożądanych, zgodnych z zasadami współżycia społecznego postaw i </w:t>
      </w:r>
      <w:proofErr w:type="spellStart"/>
      <w:r w:rsidRPr="000F2588">
        <w:t>zachowań</w:t>
      </w:r>
      <w:proofErr w:type="spellEnd"/>
      <w:r w:rsidRPr="000F2588">
        <w:t xml:space="preserve"> w relacjach między pracownikami, upowszechnianiu wiedzy na temat zjawiska </w:t>
      </w:r>
      <w:proofErr w:type="spellStart"/>
      <w:r w:rsidRPr="000F2588">
        <w:t>mobbingu</w:t>
      </w:r>
      <w:proofErr w:type="spellEnd"/>
      <w:r w:rsidRPr="000F2588">
        <w:t xml:space="preserve">, metod zapobiegania jego występowania oraz konsekwencji jego wystąpienia, monitorowaniu problematyki </w:t>
      </w:r>
      <w:proofErr w:type="spellStart"/>
      <w:r w:rsidRPr="000F2588">
        <w:t>mobbingu</w:t>
      </w:r>
      <w:proofErr w:type="spellEnd"/>
      <w:r w:rsidRPr="000F2588">
        <w:t xml:space="preserve"> i stosowaniu procedur </w:t>
      </w:r>
      <w:proofErr w:type="spellStart"/>
      <w:r w:rsidRPr="000F2588">
        <w:t>antymobbingowych</w:t>
      </w:r>
      <w:proofErr w:type="spellEnd"/>
      <w:r w:rsidRPr="000F2588">
        <w:t xml:space="preserve"> w praktyce</w:t>
      </w:r>
      <w:r w:rsidR="00F379C9" w:rsidRPr="000F2588">
        <w:t>.</w:t>
      </w:r>
    </w:p>
    <w:p w14:paraId="2AC58C3F" w14:textId="77777777" w:rsidR="0008481B" w:rsidRPr="000F2588" w:rsidRDefault="0008481B" w:rsidP="0008481B">
      <w:pPr>
        <w:spacing w:line="360" w:lineRule="auto"/>
        <w:jc w:val="center"/>
      </w:pPr>
      <w:r w:rsidRPr="000F2588">
        <w:t>§ 6.</w:t>
      </w:r>
    </w:p>
    <w:p w14:paraId="77A21D22" w14:textId="407698E2" w:rsidR="0008481B" w:rsidRPr="00076B21" w:rsidRDefault="0008481B" w:rsidP="0008481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076B21">
        <w:t xml:space="preserve">Pracownikowi, który uważa, iż został poddany </w:t>
      </w:r>
      <w:proofErr w:type="spellStart"/>
      <w:r w:rsidRPr="00076B21">
        <w:t>mobbingowi</w:t>
      </w:r>
      <w:proofErr w:type="spellEnd"/>
      <w:r w:rsidRPr="00076B21">
        <w:t xml:space="preserve">, przysługuje prawo złożenia </w:t>
      </w:r>
      <w:r w:rsidR="00FB08BC" w:rsidRPr="00076B21">
        <w:t xml:space="preserve">zawiadomienia </w:t>
      </w:r>
      <w:r w:rsidRPr="00076B21">
        <w:t>bezpośrednio Rektorowi.</w:t>
      </w:r>
    </w:p>
    <w:p w14:paraId="21448FCC" w14:textId="70427ABB" w:rsidR="0008481B" w:rsidRPr="00076B21" w:rsidRDefault="00FB08BC" w:rsidP="0008481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076B21">
        <w:t>Zawiadomienie</w:t>
      </w:r>
      <w:r w:rsidR="0008481B" w:rsidRPr="00076B21">
        <w:t xml:space="preserve"> powinn</w:t>
      </w:r>
      <w:r w:rsidRPr="00076B21">
        <w:t>o</w:t>
      </w:r>
      <w:r w:rsidR="0008481B" w:rsidRPr="00076B21">
        <w:t xml:space="preserve"> zawierać przedstawienie stanu faktycznego, imię i nazwisko osoby lub osób, które </w:t>
      </w:r>
      <w:r w:rsidR="007660F1" w:rsidRPr="00076B21">
        <w:t xml:space="preserve">dopuściły się względem Pracownika do zachowań kwalifikowanych przez Pracownika jako noszące znamiona </w:t>
      </w:r>
      <w:proofErr w:type="spellStart"/>
      <w:r w:rsidR="007660F1" w:rsidRPr="00076B21">
        <w:t>mobbingu</w:t>
      </w:r>
      <w:proofErr w:type="spellEnd"/>
      <w:r w:rsidR="0008481B" w:rsidRPr="00076B21">
        <w:t xml:space="preserve">, ewentualne dowody na poparcie przytoczonych okoliczności. </w:t>
      </w:r>
      <w:r w:rsidRPr="00076B21">
        <w:t xml:space="preserve">Zawiadomienie </w:t>
      </w:r>
      <w:r w:rsidR="0008481B" w:rsidRPr="00076B21">
        <w:t>może być sporządzon</w:t>
      </w:r>
      <w:r w:rsidRPr="00076B21">
        <w:t>e</w:t>
      </w:r>
      <w:r w:rsidR="0008481B" w:rsidRPr="00076B21">
        <w:t xml:space="preserve"> zarówno na piśmie jak również przekazan</w:t>
      </w:r>
      <w:r w:rsidRPr="00076B21">
        <w:rPr>
          <w:strike/>
        </w:rPr>
        <w:t>e</w:t>
      </w:r>
      <w:r w:rsidR="0008481B" w:rsidRPr="00076B21">
        <w:t xml:space="preserve"> ustnie. Zgłoszeniom anonimowym nie nadaje się biegu.</w:t>
      </w:r>
    </w:p>
    <w:p w14:paraId="5E4D550E" w14:textId="77777777" w:rsidR="0008481B" w:rsidRPr="00076B21" w:rsidRDefault="0008481B" w:rsidP="0008481B">
      <w:pPr>
        <w:spacing w:line="360" w:lineRule="auto"/>
      </w:pPr>
    </w:p>
    <w:p w14:paraId="57C4F305" w14:textId="77777777" w:rsidR="005C4855" w:rsidRPr="00076B21" w:rsidRDefault="005C4855" w:rsidP="0008481B">
      <w:pPr>
        <w:spacing w:line="360" w:lineRule="auto"/>
      </w:pPr>
    </w:p>
    <w:p w14:paraId="39ABE71A" w14:textId="77777777" w:rsidR="005C4855" w:rsidRPr="00076B21" w:rsidRDefault="005C4855" w:rsidP="0008481B">
      <w:pPr>
        <w:spacing w:line="360" w:lineRule="auto"/>
      </w:pPr>
    </w:p>
    <w:p w14:paraId="12CD9396" w14:textId="77777777" w:rsidR="0008481B" w:rsidRPr="000F2588" w:rsidRDefault="0008481B" w:rsidP="0008481B">
      <w:pPr>
        <w:spacing w:line="360" w:lineRule="auto"/>
      </w:pPr>
    </w:p>
    <w:p w14:paraId="73A38B60" w14:textId="77777777" w:rsidR="0008481B" w:rsidRPr="000F2588" w:rsidRDefault="0008481B" w:rsidP="0008481B">
      <w:pPr>
        <w:spacing w:line="360" w:lineRule="auto"/>
        <w:jc w:val="center"/>
      </w:pPr>
      <w:r w:rsidRPr="000F2588">
        <w:lastRenderedPageBreak/>
        <w:t>§ 7.</w:t>
      </w:r>
    </w:p>
    <w:p w14:paraId="6426D051" w14:textId="7BC52241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Postępowanie w sprawie </w:t>
      </w:r>
      <w:r w:rsidR="00076B21">
        <w:t xml:space="preserve">zawiadomienia </w:t>
      </w:r>
      <w:r w:rsidRPr="000F2588">
        <w:t xml:space="preserve">o </w:t>
      </w:r>
      <w:proofErr w:type="spellStart"/>
      <w:r w:rsidRPr="000F2588">
        <w:t>mobbing</w:t>
      </w:r>
      <w:proofErr w:type="spellEnd"/>
      <w:r w:rsidRPr="000F2588">
        <w:t xml:space="preserve"> prowadzone jest przez Komisję </w:t>
      </w:r>
      <w:proofErr w:type="spellStart"/>
      <w:r w:rsidRPr="000F2588">
        <w:t>Antymobbingową</w:t>
      </w:r>
      <w:proofErr w:type="spellEnd"/>
      <w:r w:rsidRPr="000F2588">
        <w:t xml:space="preserve">, powołaną przez Rektora w terminie 14 dni od dnia wpływu </w:t>
      </w:r>
      <w:r w:rsidR="00076B21">
        <w:t>zawiadomienia</w:t>
      </w:r>
      <w:r w:rsidRPr="000F2588">
        <w:t xml:space="preserve">. Zadaniem Komisji jest wyjaśnienie czy </w:t>
      </w:r>
      <w:r w:rsidR="00076B21">
        <w:t>zawiadomienie jest zasadne</w:t>
      </w:r>
      <w:r w:rsidRPr="000F2588">
        <w:t xml:space="preserve">, czy wystąpiło lub występuje zjawisko </w:t>
      </w:r>
      <w:proofErr w:type="spellStart"/>
      <w:r w:rsidRPr="000F2588">
        <w:t>mobbingu</w:t>
      </w:r>
      <w:proofErr w:type="spellEnd"/>
      <w:r w:rsidRPr="000F2588">
        <w:t>.</w:t>
      </w:r>
    </w:p>
    <w:p w14:paraId="4012A9BD" w14:textId="77777777" w:rsidR="005D33CA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Komisja składa się w równej liczbie z osób wskazanych przez Rektora oraz przedstawicieli działających u Pracodawcy organizacji związkowych, </w:t>
      </w:r>
      <w:r w:rsidR="007660F1" w:rsidRPr="000F2588">
        <w:t xml:space="preserve">minimum </w:t>
      </w:r>
      <w:r w:rsidRPr="000F2588">
        <w:t>po jednym z każdego związku</w:t>
      </w:r>
      <w:r w:rsidR="001639F4" w:rsidRPr="000F2588">
        <w:t>.</w:t>
      </w:r>
    </w:p>
    <w:p w14:paraId="27068A3C" w14:textId="72D23363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Członkiem Komisji nie może być osoba, której dotyczy </w:t>
      </w:r>
      <w:r w:rsidR="00076B21">
        <w:t xml:space="preserve">zawiadomienie </w:t>
      </w:r>
      <w:r w:rsidRPr="000F2588">
        <w:t xml:space="preserve">o </w:t>
      </w:r>
      <w:proofErr w:type="spellStart"/>
      <w:r w:rsidRPr="000F2588">
        <w:t>mobbing</w:t>
      </w:r>
      <w:proofErr w:type="spellEnd"/>
      <w:r w:rsidRPr="000F2588">
        <w:t xml:space="preserve">, ani osoba wskazana w </w:t>
      </w:r>
      <w:r w:rsidR="00076B21">
        <w:t>zawiadomieniu</w:t>
      </w:r>
      <w:r w:rsidRPr="000F2588">
        <w:t xml:space="preserve"> jako </w:t>
      </w:r>
      <w:proofErr w:type="spellStart"/>
      <w:r w:rsidRPr="000F2588">
        <w:t>mobber</w:t>
      </w:r>
      <w:proofErr w:type="spellEnd"/>
      <w:r w:rsidRPr="000F2588">
        <w:t xml:space="preserve">. Członek Komisji nie może także </w:t>
      </w:r>
      <w:r w:rsidR="001639F4" w:rsidRPr="000F2588">
        <w:t>uczestniczyć</w:t>
      </w:r>
      <w:r w:rsidRPr="000F2588">
        <w:t xml:space="preserve"> w sprawach dotyczących jego najbliższej rodziny. Żaden z członków Komisji nie powinien pozostawać w bezpośrednim stosunku zależności służbowej wobec </w:t>
      </w:r>
      <w:r w:rsidR="00076B21">
        <w:t xml:space="preserve">zawiadamiającego </w:t>
      </w:r>
      <w:r w:rsidRPr="000F2588">
        <w:t xml:space="preserve">oraz wobec domniemanego </w:t>
      </w:r>
      <w:proofErr w:type="spellStart"/>
      <w:r w:rsidRPr="000F2588">
        <w:t>mobbera</w:t>
      </w:r>
      <w:proofErr w:type="spellEnd"/>
      <w:r w:rsidRPr="000F2588">
        <w:t>.</w:t>
      </w:r>
    </w:p>
    <w:p w14:paraId="40F1D9B7" w14:textId="77777777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>Członkowie Komisji wybierają spośród siebie przewodniczącego.</w:t>
      </w:r>
    </w:p>
    <w:p w14:paraId="193A2AFB" w14:textId="315FA0A0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Komisja powinna rozpatrzeć </w:t>
      </w:r>
      <w:r w:rsidR="00076B21">
        <w:t xml:space="preserve">zawiadomienie </w:t>
      </w:r>
      <w:r w:rsidRPr="000F2588">
        <w:t xml:space="preserve">bez zbędnej zwłoki, w terminie nie dłuższym niż 30 dni od dnia złożenia </w:t>
      </w:r>
      <w:r w:rsidR="00076B21">
        <w:t>zawiadomienia</w:t>
      </w:r>
      <w:r w:rsidRPr="000F2588">
        <w:t>. W wyjątkowych przypadkach spowodowanych skomplikowanym charakterem sprawy, możliwe jest przedłużenie powyższego terminu o kolejne 14 dni. Decyzję o przedłużeniu terminu podejmuje przewodniczący  Komisji w porozumieniu z Rektorem.</w:t>
      </w:r>
    </w:p>
    <w:p w14:paraId="678FAF6E" w14:textId="77777777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>Komisja w swoich działaniach kieruje się obiektywizmem i bezstronnością, ponadto ma obowiązek zachować w tajemnicy wszelkie uzyskane w toku postępowania informacje.</w:t>
      </w:r>
    </w:p>
    <w:p w14:paraId="0E49FD69" w14:textId="21815707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Po wysłuchaniu wyjaśnień Pracownika i domniemanego </w:t>
      </w:r>
      <w:proofErr w:type="spellStart"/>
      <w:r w:rsidRPr="000F2588">
        <w:t>mobbera</w:t>
      </w:r>
      <w:proofErr w:type="spellEnd"/>
      <w:r w:rsidRPr="000F2588">
        <w:t xml:space="preserve"> oraz po przeprowadzeniu postępowania dowodowego, Komisja podejmuje, zwykłą większością głosów, decyzję</w:t>
      </w:r>
      <w:r w:rsidR="00076B21">
        <w:t xml:space="preserve"> co do zasadności rozpatrywanego zawiadomienia</w:t>
      </w:r>
      <w:r w:rsidRPr="000F2588">
        <w:t>. W przypadku równej liczby głosów decyduje głos przewodniczącego.</w:t>
      </w:r>
    </w:p>
    <w:p w14:paraId="478B4E94" w14:textId="77777777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>Z posiedzenia Komisji sporządza się protokół, który podpisują wszyscy członkowie Komisji.</w:t>
      </w:r>
    </w:p>
    <w:p w14:paraId="46526EC3" w14:textId="77777777" w:rsidR="0008481B" w:rsidRPr="000F2588" w:rsidRDefault="0008481B" w:rsidP="0008481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0F2588">
        <w:t xml:space="preserve">Obsługę administracyjną posiedzeń Komisji zapewnia Centrum Zarządzania Kapitałem Ludzkim, </w:t>
      </w:r>
      <w:r w:rsidR="000D579A" w:rsidRPr="000F2588">
        <w:t xml:space="preserve">które </w:t>
      </w:r>
      <w:r w:rsidRPr="000F2588">
        <w:t>przechowuje protokoły z posiedzeń.</w:t>
      </w:r>
    </w:p>
    <w:p w14:paraId="6370175D" w14:textId="77777777" w:rsidR="0008481B" w:rsidRPr="000F2588" w:rsidRDefault="0008481B" w:rsidP="0008481B">
      <w:pPr>
        <w:spacing w:line="360" w:lineRule="auto"/>
        <w:ind w:left="426" w:hanging="426"/>
        <w:jc w:val="both"/>
      </w:pPr>
    </w:p>
    <w:p w14:paraId="5E3D3389" w14:textId="77777777" w:rsidR="0008481B" w:rsidRPr="000F2588" w:rsidRDefault="0008481B" w:rsidP="0008481B">
      <w:pPr>
        <w:spacing w:line="360" w:lineRule="auto"/>
        <w:jc w:val="center"/>
      </w:pPr>
      <w:r w:rsidRPr="000F2588">
        <w:t>§ 8.</w:t>
      </w:r>
    </w:p>
    <w:p w14:paraId="6CEEE60F" w14:textId="5357D317" w:rsidR="0008481B" w:rsidRPr="000F2588" w:rsidRDefault="0008481B" w:rsidP="0008481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0F2588">
        <w:t xml:space="preserve">W razie uznania </w:t>
      </w:r>
      <w:r w:rsidR="00076B21">
        <w:t xml:space="preserve">zawiadomienia </w:t>
      </w:r>
      <w:r w:rsidRPr="000F2588">
        <w:t>za zasadn</w:t>
      </w:r>
      <w:r w:rsidR="00076B21">
        <w:t>e</w:t>
      </w:r>
      <w:r w:rsidRPr="000F2588">
        <w:t xml:space="preserve"> Pracodawca podejmuje działania zmierzające do wyeliminowania stwierdzonych nieprawidłowości i przeciwdziała ich powtarzaniu </w:t>
      </w:r>
      <w:r w:rsidR="00352F99">
        <w:br/>
      </w:r>
      <w:bookmarkStart w:id="0" w:name="_GoBack"/>
      <w:bookmarkEnd w:id="0"/>
      <w:r w:rsidRPr="000F2588">
        <w:t xml:space="preserve">a także do udzielenia pomocy i wsparcia </w:t>
      </w:r>
      <w:r w:rsidR="00076B21">
        <w:t xml:space="preserve">zawiadamiającemu </w:t>
      </w:r>
      <w:r w:rsidRPr="000F2588">
        <w:t>Pracownikowi, w ramach obowiązujących przepisów prawa.</w:t>
      </w:r>
    </w:p>
    <w:p w14:paraId="23FCBEBE" w14:textId="55D37A33" w:rsidR="00AF416F" w:rsidRPr="000F2588" w:rsidRDefault="0008481B" w:rsidP="00AF416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0F2588">
        <w:lastRenderedPageBreak/>
        <w:t xml:space="preserve">W razie uznania </w:t>
      </w:r>
      <w:r w:rsidR="00076B21">
        <w:t xml:space="preserve">zawiadomienia </w:t>
      </w:r>
      <w:r w:rsidRPr="000F2588">
        <w:t>za zasadn</w:t>
      </w:r>
      <w:r w:rsidR="00076B21">
        <w:t>e</w:t>
      </w:r>
      <w:r w:rsidRPr="000F2588">
        <w:t xml:space="preserve">, wobec </w:t>
      </w:r>
      <w:proofErr w:type="spellStart"/>
      <w:r w:rsidRPr="000F2588">
        <w:t>mobbera</w:t>
      </w:r>
      <w:proofErr w:type="spellEnd"/>
      <w:r w:rsidRPr="000F2588">
        <w:t xml:space="preserve"> Rektor może zastosować kary porządkowe (upomnienie, naganę) lub inne sankcje przewidziane przepisami Kodeksu pracy.</w:t>
      </w:r>
      <w:r w:rsidR="003B5E89" w:rsidRPr="000F2588">
        <w:t xml:space="preserve"> </w:t>
      </w:r>
    </w:p>
    <w:p w14:paraId="322E4B14" w14:textId="77777777" w:rsidR="0008481B" w:rsidRPr="000F2588" w:rsidRDefault="0008481B" w:rsidP="0008481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0F2588">
        <w:t xml:space="preserve">W rażących przypadkach </w:t>
      </w:r>
      <w:proofErr w:type="spellStart"/>
      <w:r w:rsidRPr="000F2588">
        <w:t>mobbingu</w:t>
      </w:r>
      <w:proofErr w:type="spellEnd"/>
      <w:r w:rsidRPr="000F2588">
        <w:t xml:space="preserve"> można rozwiązać z </w:t>
      </w:r>
      <w:proofErr w:type="spellStart"/>
      <w:r w:rsidRPr="000F2588">
        <w:t>mobberem</w:t>
      </w:r>
      <w:proofErr w:type="spellEnd"/>
      <w:r w:rsidRPr="000F2588">
        <w:t xml:space="preserve"> stosunek pracy bez </w:t>
      </w:r>
      <w:r w:rsidR="00A95C2F" w:rsidRPr="000F2588">
        <w:t>wypowiedzenia z winy pracownika.</w:t>
      </w:r>
      <w:r w:rsidR="00AF416F" w:rsidRPr="000F2588">
        <w:t xml:space="preserve"> </w:t>
      </w:r>
    </w:p>
    <w:p w14:paraId="3502FFC1" w14:textId="77777777" w:rsidR="0008481B" w:rsidRPr="000F2588" w:rsidRDefault="000D579A" w:rsidP="0008481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0F2588">
        <w:t xml:space="preserve">Rektor może poszkodowanemu Pracownikowi, na jego wniosek lub za jego zgodą, zmienić warunki pracy lub w inny sposób zapobiec bezpośrednim kontaktom poszkodowanego z </w:t>
      </w:r>
      <w:proofErr w:type="spellStart"/>
      <w:r w:rsidRPr="000F2588">
        <w:t>mobberem</w:t>
      </w:r>
      <w:proofErr w:type="spellEnd"/>
      <w:r w:rsidR="0089658E" w:rsidRPr="000F2588">
        <w:t>.</w:t>
      </w:r>
    </w:p>
    <w:p w14:paraId="4F1A5F83" w14:textId="77777777" w:rsidR="0008481B" w:rsidRPr="000F2588" w:rsidRDefault="0008481B" w:rsidP="0008481B">
      <w:pPr>
        <w:spacing w:line="360" w:lineRule="auto"/>
        <w:jc w:val="center"/>
      </w:pPr>
      <w:r w:rsidRPr="000F2588">
        <w:t>§ 9.</w:t>
      </w:r>
    </w:p>
    <w:p w14:paraId="41CEFA9C" w14:textId="77777777" w:rsidR="0008481B" w:rsidRPr="000F2588" w:rsidRDefault="0008481B" w:rsidP="0008481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0F2588">
        <w:t>Dane osobowe zawarte w materiałach i dokumentach Komisji podlegają ochronie przewidzianej dla ochrony danych osobowych.</w:t>
      </w:r>
    </w:p>
    <w:p w14:paraId="3C70FA3B" w14:textId="00554A08" w:rsidR="0008481B" w:rsidRDefault="0008481B" w:rsidP="0008481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0F2588">
        <w:t>Postępowanie prowadzone przez Komisję nie zamyka żadnej ze stron konfliktu możliwości skierowania sprawy na drogę postępowania sądowego.</w:t>
      </w:r>
    </w:p>
    <w:p w14:paraId="6305C29C" w14:textId="6F07D33B" w:rsidR="00FB08BC" w:rsidRDefault="00FB08BC" w:rsidP="00FB08BC">
      <w:pPr>
        <w:pStyle w:val="Akapitzlist"/>
        <w:spacing w:line="360" w:lineRule="auto"/>
        <w:ind w:left="426"/>
        <w:jc w:val="both"/>
      </w:pPr>
    </w:p>
    <w:p w14:paraId="0FF476DF" w14:textId="77777777" w:rsidR="00FB08BC" w:rsidRPr="00257E22" w:rsidRDefault="00FB08BC" w:rsidP="00FB08BC">
      <w:pPr>
        <w:spacing w:line="360" w:lineRule="auto"/>
        <w:jc w:val="both"/>
        <w:rPr>
          <w:sz w:val="24"/>
          <w:szCs w:val="24"/>
        </w:rPr>
      </w:pPr>
    </w:p>
    <w:p w14:paraId="1A3F70A0" w14:textId="77777777" w:rsidR="00FB08BC" w:rsidRPr="00257E22" w:rsidRDefault="00FB08BC" w:rsidP="00FB08BC">
      <w:pPr>
        <w:pStyle w:val="Akapitzlist"/>
        <w:spacing w:line="360" w:lineRule="auto"/>
        <w:ind w:left="426"/>
        <w:jc w:val="both"/>
      </w:pPr>
    </w:p>
    <w:p w14:paraId="553C6ED1" w14:textId="77777777" w:rsidR="0008481B" w:rsidRPr="000F2588" w:rsidRDefault="0008481B" w:rsidP="0008481B">
      <w:pPr>
        <w:spacing w:line="360" w:lineRule="auto"/>
        <w:jc w:val="both"/>
      </w:pPr>
    </w:p>
    <w:p w14:paraId="0A742969" w14:textId="4A26C9F9" w:rsidR="00C16CBE" w:rsidRDefault="00C16CBE" w:rsidP="0089658E">
      <w:pPr>
        <w:spacing w:after="160" w:line="360" w:lineRule="auto"/>
      </w:pPr>
    </w:p>
    <w:p w14:paraId="4D1F2ED9" w14:textId="4055090F" w:rsidR="002345BD" w:rsidRDefault="002345BD" w:rsidP="0089658E">
      <w:pPr>
        <w:spacing w:after="160" w:line="360" w:lineRule="auto"/>
      </w:pPr>
    </w:p>
    <w:p w14:paraId="19495034" w14:textId="2C96A6DF" w:rsidR="002345BD" w:rsidRDefault="002345BD" w:rsidP="0089658E">
      <w:pPr>
        <w:spacing w:after="160" w:line="360" w:lineRule="auto"/>
      </w:pPr>
    </w:p>
    <w:p w14:paraId="2A8C7388" w14:textId="6938FCEC" w:rsidR="002345BD" w:rsidRDefault="002345BD" w:rsidP="0089658E">
      <w:pPr>
        <w:spacing w:after="160" w:line="360" w:lineRule="auto"/>
      </w:pPr>
    </w:p>
    <w:p w14:paraId="4A4BE5BE" w14:textId="5CB9751A" w:rsidR="002345BD" w:rsidRDefault="002345BD" w:rsidP="0089658E">
      <w:pPr>
        <w:spacing w:after="160" w:line="360" w:lineRule="auto"/>
      </w:pPr>
    </w:p>
    <w:p w14:paraId="51CE406F" w14:textId="708AC1EE" w:rsidR="002345BD" w:rsidRDefault="002345BD" w:rsidP="0089658E">
      <w:pPr>
        <w:spacing w:after="160" w:line="360" w:lineRule="auto"/>
      </w:pPr>
    </w:p>
    <w:p w14:paraId="163EBEF9" w14:textId="00312583" w:rsidR="002345BD" w:rsidRDefault="002345BD" w:rsidP="0089658E">
      <w:pPr>
        <w:spacing w:after="160" w:line="360" w:lineRule="auto"/>
      </w:pPr>
    </w:p>
    <w:p w14:paraId="7878B7E7" w14:textId="4A34044B" w:rsidR="002345BD" w:rsidRDefault="002345BD" w:rsidP="0089658E">
      <w:pPr>
        <w:spacing w:after="160" w:line="360" w:lineRule="auto"/>
      </w:pPr>
    </w:p>
    <w:p w14:paraId="3395ADBC" w14:textId="1036E090" w:rsidR="002345BD" w:rsidRDefault="002345BD" w:rsidP="0089658E">
      <w:pPr>
        <w:spacing w:after="160" w:line="360" w:lineRule="auto"/>
      </w:pPr>
    </w:p>
    <w:p w14:paraId="2451B0EE" w14:textId="6CFD7246" w:rsidR="002345BD" w:rsidRDefault="002345BD" w:rsidP="0089658E">
      <w:pPr>
        <w:spacing w:after="160" w:line="360" w:lineRule="auto"/>
      </w:pPr>
    </w:p>
    <w:sectPr w:rsidR="002345BD" w:rsidSect="004C59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0DFF" w14:textId="77777777" w:rsidR="005B0A8D" w:rsidRDefault="005B0A8D" w:rsidP="00CD1A89">
      <w:pPr>
        <w:spacing w:line="240" w:lineRule="auto"/>
      </w:pPr>
      <w:r>
        <w:separator/>
      </w:r>
    </w:p>
  </w:endnote>
  <w:endnote w:type="continuationSeparator" w:id="0">
    <w:p w14:paraId="5709EB17" w14:textId="77777777" w:rsidR="005B0A8D" w:rsidRDefault="005B0A8D" w:rsidP="00CD1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2A6CE" w14:textId="77777777" w:rsidR="005B0A8D" w:rsidRDefault="005B0A8D" w:rsidP="00CD1A89">
      <w:pPr>
        <w:spacing w:line="240" w:lineRule="auto"/>
      </w:pPr>
      <w:r>
        <w:separator/>
      </w:r>
    </w:p>
  </w:footnote>
  <w:footnote w:type="continuationSeparator" w:id="0">
    <w:p w14:paraId="6C68D3BE" w14:textId="77777777" w:rsidR="005B0A8D" w:rsidRDefault="005B0A8D" w:rsidP="00CD1A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485"/>
    <w:multiLevelType w:val="hybridMultilevel"/>
    <w:tmpl w:val="F2FEB78C"/>
    <w:lvl w:ilvl="0" w:tplc="0000002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4BA9"/>
    <w:multiLevelType w:val="hybridMultilevel"/>
    <w:tmpl w:val="8B22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95A"/>
    <w:multiLevelType w:val="multilevel"/>
    <w:tmpl w:val="F9302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14F"/>
    <w:multiLevelType w:val="multilevel"/>
    <w:tmpl w:val="0DBEB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13B6"/>
    <w:multiLevelType w:val="multilevel"/>
    <w:tmpl w:val="BF26C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53B"/>
    <w:multiLevelType w:val="hybridMultilevel"/>
    <w:tmpl w:val="623C0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1101F"/>
    <w:multiLevelType w:val="multilevel"/>
    <w:tmpl w:val="48463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7FC1"/>
    <w:multiLevelType w:val="multilevel"/>
    <w:tmpl w:val="E3C21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9738B"/>
    <w:multiLevelType w:val="multilevel"/>
    <w:tmpl w:val="E13C6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64D65"/>
    <w:multiLevelType w:val="multilevel"/>
    <w:tmpl w:val="21F29EC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B"/>
    <w:rsid w:val="00076B21"/>
    <w:rsid w:val="0008481B"/>
    <w:rsid w:val="000D579A"/>
    <w:rsid w:val="000F2588"/>
    <w:rsid w:val="001639F4"/>
    <w:rsid w:val="001E4702"/>
    <w:rsid w:val="001E62A7"/>
    <w:rsid w:val="002345BD"/>
    <w:rsid w:val="00257E22"/>
    <w:rsid w:val="002B2179"/>
    <w:rsid w:val="002F1AA2"/>
    <w:rsid w:val="00352F99"/>
    <w:rsid w:val="00380C5E"/>
    <w:rsid w:val="003B5E89"/>
    <w:rsid w:val="00403E15"/>
    <w:rsid w:val="004C5289"/>
    <w:rsid w:val="004C5458"/>
    <w:rsid w:val="004C59B8"/>
    <w:rsid w:val="004C7EF4"/>
    <w:rsid w:val="005762E3"/>
    <w:rsid w:val="005B0A8D"/>
    <w:rsid w:val="005C4855"/>
    <w:rsid w:val="005D33CA"/>
    <w:rsid w:val="005E5BAE"/>
    <w:rsid w:val="00626F62"/>
    <w:rsid w:val="00672313"/>
    <w:rsid w:val="00681BFB"/>
    <w:rsid w:val="006E6640"/>
    <w:rsid w:val="00706525"/>
    <w:rsid w:val="00740D2E"/>
    <w:rsid w:val="007660F1"/>
    <w:rsid w:val="00777709"/>
    <w:rsid w:val="0083439C"/>
    <w:rsid w:val="0089658E"/>
    <w:rsid w:val="00927E8F"/>
    <w:rsid w:val="009A2255"/>
    <w:rsid w:val="00A61F09"/>
    <w:rsid w:val="00A95C2F"/>
    <w:rsid w:val="00AF416F"/>
    <w:rsid w:val="00B702EB"/>
    <w:rsid w:val="00C16CBE"/>
    <w:rsid w:val="00CD1A89"/>
    <w:rsid w:val="00D301CC"/>
    <w:rsid w:val="00D463E1"/>
    <w:rsid w:val="00DB74AA"/>
    <w:rsid w:val="00E103FF"/>
    <w:rsid w:val="00E76A4E"/>
    <w:rsid w:val="00E94046"/>
    <w:rsid w:val="00F379C9"/>
    <w:rsid w:val="00F44C07"/>
    <w:rsid w:val="00FA2CDF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3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wy"/>
    <w:qFormat/>
    <w:rsid w:val="0008481B"/>
    <w:pPr>
      <w:spacing w:after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1"/>
    <w:rPr>
      <w:rFonts w:ascii="Tahoma" w:hAnsi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A89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CD1A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A89"/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1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179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1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wy"/>
    <w:qFormat/>
    <w:rsid w:val="0008481B"/>
    <w:pPr>
      <w:spacing w:after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1"/>
    <w:rPr>
      <w:rFonts w:ascii="Tahoma" w:hAnsi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A89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CD1A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A89"/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1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179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2019-09-23T12:29:00Z</dcterms:created>
  <dcterms:modified xsi:type="dcterms:W3CDTF">2019-09-23T14:56:00Z</dcterms:modified>
</cp:coreProperties>
</file>