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8"/>
        <w:tblW w:w="16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099"/>
        <w:gridCol w:w="2096"/>
        <w:gridCol w:w="1773"/>
        <w:gridCol w:w="2012"/>
        <w:gridCol w:w="2371"/>
        <w:gridCol w:w="5356"/>
      </w:tblGrid>
      <w:tr w:rsidR="00213038" w:rsidRPr="0011366A" w14:paraId="2A929DED" w14:textId="77777777" w:rsidTr="00527DB3">
        <w:trPr>
          <w:trHeight w:val="300"/>
        </w:trPr>
        <w:tc>
          <w:tcPr>
            <w:tcW w:w="16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3F71FFB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I. Etyczne i zawodowe aspekty</w:t>
            </w:r>
          </w:p>
        </w:tc>
      </w:tr>
      <w:tr w:rsidR="00213038" w:rsidRPr="0011366A" w14:paraId="3DEBEB41" w14:textId="77777777" w:rsidTr="002C72ED">
        <w:trPr>
          <w:trHeight w:val="3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C15A59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EC95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2. Zasady etyczne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11AF" w14:textId="1BC050DB" w:rsidR="00213038" w:rsidRPr="0011366A" w:rsidRDefault="002B5477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Opracowanie</w:t>
            </w:r>
            <w:r w:rsidR="00213038"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Kodeksu Etyki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1C4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728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Kodeks Etyki PŁ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02CE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4C04" w14:textId="29D80B38" w:rsidR="00213038" w:rsidRPr="0011366A" w:rsidRDefault="002B5477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lang w:eastAsia="pl-PL"/>
              </w:rPr>
              <w:t xml:space="preserve">Zredagowanie dokumentu o szerokim i przekrojowym charakterze, który będzie wewnętrznym aktem prawnym regulującym zasady etycznego postępowania wszystkich pracowników Politechniki Łódzkiej.  Kodeks Etyki będzie wskazywał standardy postępowania, których przestrzeganie zapewni kompetencje, odpowiedzialność </w:t>
            </w:r>
            <w:r w:rsidR="00527DB3">
              <w:rPr>
                <w:rFonts w:ascii="Calibri" w:eastAsia="Times New Roman" w:hAnsi="Calibri" w:cs="Calibri"/>
                <w:lang w:eastAsia="pl-PL"/>
              </w:rPr>
              <w:br/>
            </w:r>
            <w:r w:rsidRPr="002B5477">
              <w:rPr>
                <w:rFonts w:ascii="Calibri" w:eastAsia="Times New Roman" w:hAnsi="Calibri" w:cs="Calibri"/>
                <w:lang w:eastAsia="pl-PL"/>
              </w:rPr>
              <w:t>i wysokie wartości moralne personelu Politechniki Łódzkiej w związku z wykonywaniem przez nich swoich obowiązków.</w:t>
            </w:r>
          </w:p>
        </w:tc>
      </w:tr>
      <w:tr w:rsidR="00213038" w:rsidRPr="0011366A" w14:paraId="2BEEE5EA" w14:textId="77777777" w:rsidTr="002C72ED">
        <w:trPr>
          <w:trHeight w:val="3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ACE020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I.2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F85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8. Upowszechnianie, wykorzystywanie wyników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6E88" w14:textId="0143429C" w:rsidR="00213038" w:rsidRPr="0011366A" w:rsidRDefault="002B5477" w:rsidP="00590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Wykorzystanie internetowych portali społecznościowych do promocji wyników badań PŁ oraz nawiązywania współpracy naukowej (kontynuacja działań)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4F7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Promocji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7B7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osób śledzących portale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6C4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AB8B" w14:textId="60333C35" w:rsidR="00213038" w:rsidRPr="0011366A" w:rsidRDefault="002B5477" w:rsidP="002B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lang w:eastAsia="pl-PL"/>
              </w:rPr>
              <w:t xml:space="preserve">W związku z rosnącym znaczeniem mediów społecznościowych planuje się dalsze upowszechnianie wśród naukowców pracujących w PŁ informacji dotyczących m.in. </w:t>
            </w:r>
            <w:proofErr w:type="spellStart"/>
            <w:r w:rsidRPr="002B5477">
              <w:rPr>
                <w:rFonts w:ascii="Calibri" w:eastAsia="Times New Roman" w:hAnsi="Calibri" w:cs="Calibri"/>
                <w:lang w:eastAsia="pl-PL"/>
              </w:rPr>
              <w:t>Research</w:t>
            </w:r>
            <w:proofErr w:type="spellEnd"/>
            <w:r w:rsidRPr="002B547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B5477">
              <w:rPr>
                <w:rFonts w:ascii="Calibri" w:eastAsia="Times New Roman" w:hAnsi="Calibri" w:cs="Calibri"/>
                <w:lang w:eastAsia="pl-PL"/>
              </w:rPr>
              <w:t>Gate</w:t>
            </w:r>
            <w:proofErr w:type="spellEnd"/>
            <w:r w:rsidRPr="002B5477">
              <w:rPr>
                <w:rFonts w:ascii="Calibri" w:eastAsia="Times New Roman" w:hAnsi="Calibri" w:cs="Calibri"/>
                <w:lang w:eastAsia="pl-PL"/>
              </w:rPr>
              <w:t xml:space="preserve"> i LinkedIn, a także możliwości uruchamiania i wykorzystania własnych profili do nawiązywania współpracy naukowej. W ramach kampanii informacyjnej podjęte będą działania promujące wykorzystanie portali społecznościowych w pracy naukowca.</w:t>
            </w:r>
          </w:p>
        </w:tc>
      </w:tr>
      <w:tr w:rsidR="00213038" w:rsidRPr="0011366A" w14:paraId="6CF3B8FA" w14:textId="77777777" w:rsidTr="0049502C">
        <w:trPr>
          <w:trHeight w:val="1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F70380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I.3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EF8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8. Upowszechnianie, wykorzystywanie wyników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30CA" w14:textId="1D1D08C1" w:rsidR="00213038" w:rsidRPr="0011366A" w:rsidRDefault="002B5477" w:rsidP="00590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Indywidualne strony www dla naukowców zainteresowanych prezentacją swojego dorobku i badań na ogólnouczelnianym serwisie www.p.lodz.pl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7CF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Promocji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EEF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Strona internetowa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2874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DDFB" w14:textId="699BE842" w:rsidR="00213038" w:rsidRPr="0011366A" w:rsidRDefault="002B5477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Działanie ma na celu przygotowanie łatwego w użyciu narzędzia, które pozwoli naukowcom na zbudowanie własnej profesjonalnej strony internetowej prezentującej zarówno dotychczasowy dorobek naukowy, jak i obecnie realizowane projekty badawcze.</w:t>
            </w:r>
          </w:p>
        </w:tc>
      </w:tr>
      <w:tr w:rsidR="00213038" w:rsidRPr="0011366A" w14:paraId="3A99DDDD" w14:textId="77777777" w:rsidTr="00527DB3">
        <w:trPr>
          <w:trHeight w:val="300"/>
        </w:trPr>
        <w:tc>
          <w:tcPr>
            <w:tcW w:w="16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D0C4402" w14:textId="77777777" w:rsidR="00213038" w:rsidRPr="0011366A" w:rsidRDefault="00213038" w:rsidP="0059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II. Rekrutacja</w:t>
            </w:r>
          </w:p>
        </w:tc>
      </w:tr>
      <w:tr w:rsidR="00213038" w:rsidRPr="0011366A" w14:paraId="549AF097" w14:textId="77777777" w:rsidTr="00527DB3">
        <w:trPr>
          <w:trHeight w:val="139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E138A8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68E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12. Rekrutacja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915B" w14:textId="00F11D63" w:rsidR="00213038" w:rsidRPr="0011366A" w:rsidRDefault="002B5477" w:rsidP="0059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Opracowanie dokumentu "</w:t>
            </w:r>
            <w:proofErr w:type="spellStart"/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Check</w:t>
            </w:r>
            <w:proofErr w:type="spellEnd"/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list", który weryfikowałby na bieżąco poszczególne etapy całego procesu rekrutacyjnego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1A5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492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Dokument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3734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92FF" w14:textId="4EE84FC0" w:rsidR="00213038" w:rsidRPr="0011366A" w:rsidRDefault="002B5477" w:rsidP="002B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proofErr w:type="spellStart"/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Check</w:t>
            </w:r>
            <w:proofErr w:type="spellEnd"/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lista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będzie rodzajem instrukcji dla komisji, aby nie pominięto żadnego kroku z dobrych praktyk procesu rekrutacyjnego.</w:t>
            </w:r>
          </w:p>
        </w:tc>
      </w:tr>
      <w:tr w:rsidR="00213038" w:rsidRPr="0011366A" w14:paraId="68B78051" w14:textId="77777777" w:rsidTr="0049502C">
        <w:trPr>
          <w:trHeight w:val="160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0CB449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II.2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2FC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12. Rekrutacja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EEA4" w14:textId="1DDEB5D8" w:rsidR="00213038" w:rsidRPr="0011366A" w:rsidRDefault="002B5477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Wprowadzenie systemu monitorowania procesów rekrutacyjnych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B0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F73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wydanych opinii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335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A397" w14:textId="4A4979B8" w:rsidR="00213038" w:rsidRPr="0011366A" w:rsidRDefault="002B5477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Doraźna kontrola prawidłowości ogłoszeń rekrutacyjnych publikowanych na stronie EURAXESS, monitorowanie wybranych ogłoszeń publikowanych na stronie Uczelni oraz udział w wybranych procesach rekrutacyjnych.</w:t>
            </w:r>
          </w:p>
        </w:tc>
      </w:tr>
      <w:tr w:rsidR="00213038" w:rsidRPr="0011366A" w14:paraId="653E28AC" w14:textId="77777777" w:rsidTr="0049502C">
        <w:trPr>
          <w:trHeight w:val="3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C2808F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II.3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E5A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14. Wybór (Kodeks)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4E74" w14:textId="75C8025B" w:rsidR="00213038" w:rsidRPr="0011366A" w:rsidRDefault="002B5477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lang w:eastAsia="pl-PL"/>
              </w:rPr>
              <w:t>Doradztwo w zakresie diagnozy predyspozycji osobowościowych i kompetencyjnych kandydatów do pracy poprzez przeprowadzanie testów kompetencyjnych i psychologicznych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96DA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Biuro Karier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F373" w14:textId="1E8CBD3C" w:rsidR="00213038" w:rsidRPr="0011366A" w:rsidRDefault="002B5477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  <w:r w:rsidR="00213038"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wspieranych procesów rekrutacyjnych 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5CD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8AAF" w14:textId="2899A76E" w:rsidR="00213038" w:rsidRPr="0011366A" w:rsidRDefault="002B5477" w:rsidP="002B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Wspieranie działań komisji rekrutacyjnych w jednostkach uczelni przez wyspecjalizowaną centralną jednostkę tj. Biuro Karier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zakresie badania kompetencji psychospołecznych kandydatów do pracy. Doradztwo obejmuje: przeprowadzanie testów predyspozycji zawodowych dla wszystkich kandydatów na stanowiska; analizę CV; przygotowywanie raportów; udział 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B5477">
              <w:rPr>
                <w:rFonts w:ascii="Calibri" w:eastAsia="Times New Roman" w:hAnsi="Calibri" w:cs="Calibri"/>
                <w:color w:val="000000"/>
                <w:lang w:eastAsia="pl-PL"/>
              </w:rPr>
              <w:t>w rozmowach rekrutacyjnych; rekomendacja dopasowania kandydata do stanowiska i zespołu.</w:t>
            </w:r>
          </w:p>
        </w:tc>
      </w:tr>
      <w:tr w:rsidR="00213038" w:rsidRPr="0011366A" w14:paraId="5EA9C124" w14:textId="77777777" w:rsidTr="0049502C">
        <w:trPr>
          <w:trHeight w:val="489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AB4B2B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II.4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6DA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14. Wybór (Kodeks)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D433" w14:textId="75C20F12" w:rsidR="00213038" w:rsidRPr="0011366A" w:rsidRDefault="0086725F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Szkolenia z procesów rekrutacji dla komisji rekrutacyjnych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8BA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Biuro Karier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91C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szkoleń  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991E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0C71" w14:textId="0EC8D912" w:rsidR="0086725F" w:rsidRPr="0086725F" w:rsidRDefault="0086725F" w:rsidP="0086725F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rozwój kompetencji pracowników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zakresie przygotowania i przeprowadzenia procesów rekrutacyjnych. </w:t>
            </w:r>
          </w:p>
          <w:p w14:paraId="1D0004F9" w14:textId="77777777" w:rsidR="0086725F" w:rsidRPr="0086725F" w:rsidRDefault="0086725F" w:rsidP="0086725F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obejmować będzie: </w:t>
            </w:r>
          </w:p>
          <w:p w14:paraId="24CB8798" w14:textId="77777777" w:rsidR="0086725F" w:rsidRP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określenie potrzeb personalnych</w:t>
            </w:r>
          </w:p>
          <w:p w14:paraId="2F1DA278" w14:textId="31074A7F" w:rsidR="0086725F" w:rsidRP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zbudowanie profilu kompetencyjnego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       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i społecznego kandydata</w:t>
            </w:r>
          </w:p>
          <w:p w14:paraId="1EEE9DAD" w14:textId="77777777" w:rsidR="0086725F" w:rsidRP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analizę dokumentów aplikacyjnych</w:t>
            </w:r>
          </w:p>
          <w:p w14:paraId="4E016278" w14:textId="77777777" w:rsid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metody i narzędzia przeprowadzenia rozmowy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323C5A5" w14:textId="4563B4DF" w:rsidR="0086725F" w:rsidRP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kwalifikacyjnej </w:t>
            </w:r>
          </w:p>
          <w:p w14:paraId="56E2F6C4" w14:textId="77777777" w:rsid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sposoby na praktyczną weryfikację umiejętności </w:t>
            </w:r>
          </w:p>
          <w:p w14:paraId="4E6235F0" w14:textId="34125F59" w:rsidR="0086725F" w:rsidRP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kandydatów, elementy </w:t>
            </w:r>
            <w:proofErr w:type="spellStart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Assessment</w:t>
            </w:r>
            <w:proofErr w:type="spellEnd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Centre</w:t>
            </w:r>
          </w:p>
          <w:p w14:paraId="28BC20B7" w14:textId="77777777" w:rsidR="0086725F" w:rsidRPr="0086725F" w:rsidRDefault="0086725F" w:rsidP="0086725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udzielanie informacji zwrotnej kandydatom</w:t>
            </w:r>
          </w:p>
          <w:p w14:paraId="27B42E46" w14:textId="77777777" w:rsid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elementy formalnego przygotowania procesu </w:t>
            </w:r>
          </w:p>
          <w:p w14:paraId="37B610A8" w14:textId="4FDA8FBB" w:rsidR="00213038" w:rsidRPr="0011366A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</w:t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rekrutacyjnego</w:t>
            </w:r>
          </w:p>
        </w:tc>
      </w:tr>
      <w:tr w:rsidR="00213038" w:rsidRPr="0011366A" w14:paraId="4C6DF0AC" w14:textId="77777777" w:rsidTr="00527DB3">
        <w:trPr>
          <w:trHeight w:val="300"/>
        </w:trPr>
        <w:tc>
          <w:tcPr>
            <w:tcW w:w="162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1636030" w14:textId="77777777" w:rsidR="00213038" w:rsidRPr="0011366A" w:rsidRDefault="00213038" w:rsidP="0059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III. Warunki pracy</w:t>
            </w:r>
          </w:p>
        </w:tc>
      </w:tr>
      <w:tr w:rsidR="00213038" w:rsidRPr="0011366A" w14:paraId="7C7F4584" w14:textId="77777777" w:rsidTr="0049502C">
        <w:trPr>
          <w:trHeight w:val="1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B6CB28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III.1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7AB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23. Środowisko badań naukowych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DA96" w14:textId="75CE2868" w:rsidR="00213038" w:rsidRPr="0011366A" w:rsidRDefault="0086725F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Indywidualne wsparcie dla doktorantów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i młodych pracowników nauki przy aplikowaniu w konkursach o granty naukowo-badawcze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873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Biuro Obsługi Projektów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6716" w14:textId="77777777" w:rsidR="0086725F" w:rsidRPr="0086725F" w:rsidRDefault="0086725F" w:rsidP="00867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Uruchomione wsparcie doradcze </w:t>
            </w:r>
          </w:p>
          <w:p w14:paraId="7EBE70D5" w14:textId="77777777" w:rsidR="0086725F" w:rsidRPr="0086725F" w:rsidRDefault="0086725F" w:rsidP="00867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zakresie aplikowania </w:t>
            </w:r>
          </w:p>
          <w:p w14:paraId="25EBBB00" w14:textId="6AFBA446" w:rsidR="00213038" w:rsidRPr="0011366A" w:rsidRDefault="0086725F" w:rsidP="00867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o granty naukowo-badawcze (indywidualny doradca)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BD4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05B2" w14:textId="7FC1A8A0" w:rsidR="00213038" w:rsidRPr="0011366A" w:rsidRDefault="0086725F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zaoferowanie młodym naukowcom indywidualnego doradztwa w zakresie aplikowania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o granty. Doradca wspiera naukowców na poszczególnych etapach opracowywania wniosku i aplikowania o grant.</w:t>
            </w:r>
          </w:p>
        </w:tc>
      </w:tr>
      <w:tr w:rsidR="00213038" w:rsidRPr="0011366A" w14:paraId="55E0B562" w14:textId="77777777" w:rsidTr="00527DB3">
        <w:trPr>
          <w:trHeight w:val="28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9AE093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388E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24. Warunki pracy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4832" w14:textId="3B2D019E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Stworzenie procesu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onbo</w:t>
            </w:r>
            <w:r w:rsidR="00E427C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rdingu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913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9A4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Procedura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ED8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A479" w14:textId="436EEEB2" w:rsidR="00E427C9" w:rsidRDefault="0086725F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procedury dotyczącej adaptacji nowo zatrudnionych pracowników, w której znajdą się zapisy dotyczące działań podejmowanych przez bezpośrednich przełożonych i RCZKL w zakresie: przygotowania miejsca pracy, narzędzi i zasobów wraz z danymi dostępowymi, spraw administracyjno-organizacyjnymi takimi jak zapoznanie się z obowiązującymi regulaminami, kulturą organizacyjną, wprowadzeniem do zespołu i obowiązków. </w:t>
            </w:r>
          </w:p>
          <w:p w14:paraId="1E8ECF06" w14:textId="77777777" w:rsidR="00E427C9" w:rsidRDefault="00E427C9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FD9241" w14:textId="1BDD944B" w:rsidR="00213038" w:rsidRPr="0011366A" w:rsidRDefault="0086725F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"Księgi wiedzy dla nowych pracowników zatrudnionych w PŁ" zawierającej  niezbędne informacje dotyczące pracy w Uczelni takich jak: organizacja pracy, informacje kadrowe, działalność socjalna, polityka personalna, obieg dokumentów, działanie portalu </w:t>
            </w:r>
            <w:proofErr w:type="spellStart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Wikamp</w:t>
            </w:r>
            <w:proofErr w:type="spellEnd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przydatnych informacji. Przewodnik będzie wysyłany na skrzynki e-mail nowo zatrudnionych pracowników oraz na stałe udostępniony na portalu </w:t>
            </w:r>
            <w:proofErr w:type="spellStart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Wikamp</w:t>
            </w:r>
            <w:proofErr w:type="spellEnd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213038" w:rsidRPr="0011366A" w14:paraId="4174A186" w14:textId="77777777" w:rsidTr="0049502C">
        <w:trPr>
          <w:trHeight w:val="2802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B4E7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EDBB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0C2B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9E2C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F9E1" w14:textId="363BDEA6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 wiedzy dla nowych pracowników zatrudnionych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w Politechnice Łódzkiej</w:t>
            </w: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AF89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EA59E" w14:textId="77777777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1AA5A69C" w14:textId="77777777" w:rsidTr="0049502C">
        <w:trPr>
          <w:trHeight w:val="460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6566B9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III.3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A74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24. Warunki pracy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B04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lang w:eastAsia="pl-PL"/>
              </w:rPr>
              <w:t>Ankieta wdrożeniowa nowych pracowników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304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A18A" w14:textId="018FDF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lang w:eastAsia="pl-PL"/>
              </w:rPr>
              <w:t xml:space="preserve">Poziom wdrożenia pracownika </w:t>
            </w:r>
            <w:r w:rsidR="003A6C9C">
              <w:rPr>
                <w:rFonts w:ascii="Calibri" w:eastAsia="Times New Roman" w:hAnsi="Calibri" w:cs="Calibri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lang w:eastAsia="pl-PL"/>
              </w:rPr>
              <w:t xml:space="preserve">w administrację, organizację PŁ oraz w obowiązki </w:t>
            </w:r>
            <w:r w:rsidR="003A6C9C">
              <w:rPr>
                <w:rFonts w:ascii="Calibri" w:eastAsia="Times New Roman" w:hAnsi="Calibri" w:cs="Calibri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lang w:eastAsia="pl-PL"/>
              </w:rPr>
              <w:t xml:space="preserve">w jednostce organizacyjnej, </w:t>
            </w:r>
            <w:r w:rsidR="003A6C9C">
              <w:rPr>
                <w:rFonts w:ascii="Calibri" w:eastAsia="Times New Roman" w:hAnsi="Calibri" w:cs="Calibri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lang w:eastAsia="pl-PL"/>
              </w:rPr>
              <w:t>w której pracownik jest bezpośrednio zatrudniony). Wyniki ankiety.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DB0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DE8E" w14:textId="11C80426" w:rsidR="00213038" w:rsidRPr="0011366A" w:rsidRDefault="0086725F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lang w:eastAsia="pl-PL"/>
              </w:rPr>
              <w:t>Działanie ma na celu prowadzenie kontroli czy nowo zatrudniona osoba jest w sposób "systemowy"  wdrażana do pracy w PŁ oraz na swoim stanowisku pracy. Cel do osiągnięcia to sprawdzenie efektywności stworzonego planu postępowania z nowo zatrudnioną osobą od samego procesu rekrutacji poprzez dopełnienie wszelkich formalności z aktów prawnych oraz wewnętrznych aktów Uczelni aż po zapoznanie pracownika z systemami, platformami, stroną internetową, kampusem itd. Ankieta powinna badać czy pracownik po pół roku pracy wie jakie obowiązki mu powierzono, jak będzie z nich rozliczany, kiedy, jakie ma prawa i z jakich "dodatków" (m.in. dodatki socjalne itp.) może korzystać.</w:t>
            </w:r>
          </w:p>
        </w:tc>
      </w:tr>
      <w:tr w:rsidR="00213038" w:rsidRPr="0011366A" w14:paraId="6984FC86" w14:textId="77777777" w:rsidTr="0049502C">
        <w:trPr>
          <w:trHeight w:val="2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F56AEA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III.4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6E5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24. Warunki pracy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0FEB" w14:textId="0B522BC0" w:rsidR="00213038" w:rsidRPr="0011366A" w:rsidRDefault="0086725F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ankiety </w:t>
            </w:r>
            <w:proofErr w:type="spellStart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Exit</w:t>
            </w:r>
            <w:proofErr w:type="spellEnd"/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Interview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7E1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27E5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Opracowana ankieta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4E3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5006" w14:textId="4153E558" w:rsidR="00213038" w:rsidRPr="0011366A" w:rsidRDefault="0086725F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Ankieta ma na celu poznanie przyczyn rozwiązania umowy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pracę przez pracownika i wdrożenie ewentualnych działań naprawczych. Ankieta będzie dostępna zarówno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w wersji papierowej jak i na platformie WIKAMP. Dostęp do jej wyników będzie miał tylko Rektor PŁ oraz uprawnieni pracownicy RCZKL.</w:t>
            </w:r>
          </w:p>
        </w:tc>
      </w:tr>
      <w:tr w:rsidR="00213038" w:rsidRPr="0011366A" w14:paraId="200850CF" w14:textId="77777777" w:rsidTr="0049502C">
        <w:trPr>
          <w:trHeight w:val="7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D894BF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III.5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24B9" w14:textId="27E72AA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26. Finansowanie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 wynagrodzenie za pracę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B607" w14:textId="61402547" w:rsidR="00213038" w:rsidRPr="0011366A" w:rsidRDefault="0086725F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Nagrody wspierające doskonałość naukową pracowników, doktorantów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i studentów Politechniki Łódzkiej w ramach programu „Inicjatywa doskonałości – uczelnia badawcza”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2F2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Nauki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4B94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nagrodzonych osiągnięć naukowych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472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3928" w14:textId="77777777" w:rsidR="0086725F" w:rsidRP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Nagrody przyznawane są za następujące osiągnięcia naukowe uzyskane w danym roku kalendarzowym:</w:t>
            </w:r>
          </w:p>
          <w:p w14:paraId="2E7276E5" w14:textId="76004C03" w:rsidR="0086725F" w:rsidRP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publikacje w najlepszych czasopismach zawartych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aktualnym, w chwili opublikowania osiągnięcia, ministerialnym wykazie czasopism naukowych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i recenzowanych materiałów z konferencji międzynarodowych;</w:t>
            </w:r>
          </w:p>
          <w:p w14:paraId="7847EDFA" w14:textId="7FB24A02" w:rsidR="0086725F" w:rsidRP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referaty konferencyjne w najlepszych recenzowanych materiałach z konferencji międzynarodowych zawartych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aktualnym, w chwili opublikowania osiągnięcia, ministerialnym wykazie czasopism naukowych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i recenzowanych materiałów z konferencji międzynarodowych;</w:t>
            </w:r>
          </w:p>
          <w:p w14:paraId="7A819843" w14:textId="6714E6CD" w:rsidR="0086725F" w:rsidRP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monografie naukowe lub rozdziały w recenzowanych monografiach naukowych opublikowanych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wydawnictwach poziomu II zawartych w aktualnym,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w chwili opublikowania osiągnięcia, ministerialnym wykazie wydawnictw publikujących recenzowane monografie naukowe;</w:t>
            </w:r>
          </w:p>
          <w:p w14:paraId="58BB39B3" w14:textId="77777777" w:rsidR="0086725F" w:rsidRP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- patenty krajowe i międzynarodowe;</w:t>
            </w:r>
          </w:p>
          <w:p w14:paraId="21A16F81" w14:textId="348EA419" w:rsid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5F">
              <w:rPr>
                <w:rFonts w:ascii="Calibri" w:eastAsia="Times New Roman" w:hAnsi="Calibri" w:cs="Calibri"/>
                <w:color w:val="000000"/>
                <w:lang w:eastAsia="pl-PL"/>
              </w:rPr>
              <w:t>- granty badawcze.</w:t>
            </w:r>
          </w:p>
          <w:p w14:paraId="5F3A2893" w14:textId="38691839" w:rsidR="0086725F" w:rsidRPr="0086725F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Szerzej o programie IDUB:</w:t>
            </w:r>
          </w:p>
          <w:p w14:paraId="65F67CB6" w14:textId="335A4CA8" w:rsidR="00213038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hyperlink r:id="rId7" w:history="1">
              <w:r w:rsidRPr="00680F5F">
                <w:rPr>
                  <w:rStyle w:val="Hipercze"/>
                  <w:rFonts w:ascii="Calibri" w:eastAsia="Times New Roman" w:hAnsi="Calibri" w:cs="Calibri"/>
                  <w:lang w:eastAsia="pl-PL"/>
                </w:rPr>
                <w:t>https://konstytucjadlanauki.gov.pl/inicjatywa-doskonalosci-uczelnia-badawcza</w:t>
              </w:r>
            </w:hyperlink>
          </w:p>
          <w:p w14:paraId="4F879913" w14:textId="2EB16182" w:rsidR="0086725F" w:rsidRPr="0011366A" w:rsidRDefault="0086725F" w:rsidP="00867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1E2C2DA3" w14:textId="77777777" w:rsidTr="0049502C">
        <w:trPr>
          <w:trHeight w:val="1002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10E60B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III.6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33D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27. Równość płci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FB00" w14:textId="5ABC983F" w:rsidR="00213038" w:rsidRPr="0011366A" w:rsidRDefault="00C2797B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Utworzenie specjalnej zakładki na stronie internetowej PŁ zawierającej </w:t>
            </w:r>
            <w:proofErr w:type="spellStart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Gender</w:t>
            </w:r>
            <w:proofErr w:type="spellEnd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Equality</w:t>
            </w:r>
            <w:proofErr w:type="spellEnd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Plan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DE4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Promocji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3B3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Zakładka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46C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6CA0" w14:textId="4AB4EBF8" w:rsidR="00213038" w:rsidRPr="0011366A" w:rsidRDefault="00C2797B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Będzie to miejsce publikacji danych i materiałów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o  aktywnościach w ramach działań równościowych prowadzonych w PŁ.</w:t>
            </w:r>
          </w:p>
        </w:tc>
      </w:tr>
      <w:tr w:rsidR="00213038" w:rsidRPr="0011366A" w14:paraId="3ACBAEB4" w14:textId="77777777" w:rsidTr="0049502C">
        <w:trPr>
          <w:trHeight w:val="400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DF9531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III.7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3D8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27. Równość płci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93B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Powołanie pełnomocników ds. równości płci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DE7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9FA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pełnomocników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848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3338" w14:textId="57956FE5" w:rsidR="00213038" w:rsidRPr="0011366A" w:rsidRDefault="00213038" w:rsidP="0020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zadań pełnomocników należy m.in. współpraca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władzami wydziału/jednostki oraz współpraca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z wyznaczonym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pracownikiem zajmującym się problematyką równościową w CZKL przyjmowanie skarg, zbieranie danych, prowadzenie rejestru zgłoszeń, doradztwo, rozwiązywanie konfliktów na tle równościowym i interwencja, wspieranie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pracowników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pracownic i studentów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studentek w rozwiązywaniu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konfliktów, przeprowadzanie postępowań wyjaśniający 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sprawach skarg, przekazywanie spraw do Komisji ds.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antydyskryminacji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antymobbingu</w:t>
            </w:r>
            <w:proofErr w:type="spellEnd"/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01A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przeciwdziałania molestowaniu, mediacja.</w:t>
            </w:r>
          </w:p>
        </w:tc>
      </w:tr>
      <w:tr w:rsidR="00213038" w:rsidRPr="0011366A" w14:paraId="6497F76A" w14:textId="77777777" w:rsidTr="0049502C">
        <w:trPr>
          <w:trHeight w:val="3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FA148C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III.8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FA94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27. Równość płci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D0B1" w14:textId="52B37C50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Powołanie na stałe działającej Komisji ds.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antydyskryminacji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antymobbingu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 przeciwdziałania molestowaniu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D05E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9D9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Powołana Komisja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4BA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F613" w14:textId="015BF95C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Do zadań Komisji ds. 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antydyskryminacji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antymobbingu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 przeciwdziałania molestowaniu należy m.in. rozpatrywanie skarg i zarzutów, opiniowanie spraw, identyfikowanie nadużyć na podstawie Regulaminu dotyczącego przeciwdziałania dyskryminacji,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mobbingowi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molestowaniu, żądanie wyjaśnień i wglądu w niezbędne dokumenty dotyczące sprawy, w przypadku jednoznacznego stwierdzenia wystąpienia naruszenia Regulaminu zgłaszanie sprawy do Kolegium Rektorskiego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w celu podjęcia decyzji.</w:t>
            </w:r>
          </w:p>
        </w:tc>
      </w:tr>
      <w:tr w:rsidR="00213038" w:rsidRPr="0011366A" w14:paraId="1AC6EE59" w14:textId="77777777" w:rsidTr="0049502C">
        <w:trPr>
          <w:trHeight w:val="4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FB8669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III.9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290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28. Rozwój kariery zawodowej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1AC6" w14:textId="3BC36982" w:rsidR="00213038" w:rsidRPr="0011366A" w:rsidRDefault="00C2797B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Zatrudnianie ekspertów zagranicznych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w obszarze kształcenia zorientowanego na studenta oraz dziedzinach kierunkowych jako partnerów dla nauczycieli akademickich prowadzących zajęcia w języku angielskim oraz przyjazdy wykładowców zagranicznych na IFE w celu prowadzenia zajęć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111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CWM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A69A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zagranicznych wykładowców prowadzących zajęcia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368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2022 - 2024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EDEF" w14:textId="77777777" w:rsidR="00C2797B" w:rsidRPr="00C2797B" w:rsidRDefault="00C2797B" w:rsidP="00C279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Zaangażowanie ekspertów ma na celu przebudowanie istniejących modułów na model kształcenia </w:t>
            </w:r>
            <w:proofErr w:type="spellStart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flipped</w:t>
            </w:r>
            <w:proofErr w:type="spellEnd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classroom</w:t>
            </w:r>
            <w:proofErr w:type="spellEnd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zbudowanie nowych, silnych relacji między stronami. Działanie realizowane jest w ramach projektu Zintegrowane Programy Uczelni finansowanego przez </w:t>
            </w:r>
            <w:proofErr w:type="spellStart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NCBiR</w:t>
            </w:r>
            <w:proofErr w:type="spellEnd"/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  <w:p w14:paraId="6522B127" w14:textId="77777777" w:rsidR="00C2797B" w:rsidRPr="00C2797B" w:rsidRDefault="00C2797B" w:rsidP="00C279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2B28BF" w14:textId="22B4A58C" w:rsidR="00213038" w:rsidRPr="0011366A" w:rsidRDefault="00C2797B" w:rsidP="00C279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Przyjazdy wykładowców zagranicznych na IFE mają na celu pozyskanie wykładowców z zagranicznych uczelni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w każdym roku akademickim do prowadzenia konkretnego przedmiotu w pełnym wymiarze godzin w semestrze zimowym dla studentów IFE.</w:t>
            </w:r>
          </w:p>
        </w:tc>
      </w:tr>
      <w:tr w:rsidR="00213038" w:rsidRPr="0011366A" w14:paraId="25F344DA" w14:textId="77777777" w:rsidTr="0049502C">
        <w:trPr>
          <w:trHeight w:val="300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B28055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III.10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18F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29. Wartość mobilności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9EA3" w14:textId="36CEEF69" w:rsidR="00213038" w:rsidRPr="0011366A" w:rsidRDefault="00C2797B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Przygotowanie procedury  dotyczącej podejmowania staży naukowych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w jednostkach naukowo-badawczych jako mechanizmu wspierającego mobilność – implementacja, promocja rozwiązania (kontynuacja działań)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A41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RCZKL 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D34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Opracowany dokument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1FF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2022 - 2024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F48A" w14:textId="073FAFD3" w:rsidR="00213038" w:rsidRPr="0011366A" w:rsidRDefault="00C2797B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opracowanie mechanizmu ułatwiającego możliwość odbywania staży naukowych przez pracowników naukowych i naukowo-dydaktycznych w jednostkach naukowo-badawczych. Opracowany dokument ułatwi podejmowanie przez pracowników uczelni staży naukowych, co doprowadzi do podwyższenia ich kompetencji i wiedzy oraz możliwości pracy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w zróżnicowanym środowisku, a także prowadzenia badań na najwyższym poziomie.</w:t>
            </w:r>
          </w:p>
        </w:tc>
      </w:tr>
      <w:tr w:rsidR="00213038" w:rsidRPr="0011366A" w14:paraId="434EED48" w14:textId="77777777" w:rsidTr="0049502C">
        <w:trPr>
          <w:trHeight w:val="30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A51646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III.11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1BF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29. Wartość mobilności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E344" w14:textId="77777777" w:rsidR="00C2797B" w:rsidRPr="00C2797B" w:rsidRDefault="00C2797B" w:rsidP="00C2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Mechanizm wspierający implementację rozwiązań</w:t>
            </w:r>
          </w:p>
          <w:p w14:paraId="2DC10CAD" w14:textId="0A0263B9" w:rsidR="00213038" w:rsidRPr="0011366A" w:rsidRDefault="00C2797B" w:rsidP="00C2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i dobrych praktyk poznanych przez pracowników w ramach różnych form mobilności – platforma wymiany doświadczeń (kontynuacja działań)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0E2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CWM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EF0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spotkań mających na celu wymianę dobrych praktyk zaobserwowanych </w:t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innych jednostkach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630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2022 - 2024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B1AB" w14:textId="77777777" w:rsidR="00C2797B" w:rsidRPr="00C2797B" w:rsidRDefault="00C2797B" w:rsidP="00C279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rozpowszechnienie i zastosowanie </w:t>
            </w:r>
          </w:p>
          <w:p w14:paraId="2AF9917B" w14:textId="42D3B547" w:rsidR="00213038" w:rsidRPr="0011366A" w:rsidRDefault="00C2797B" w:rsidP="00C279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797B">
              <w:rPr>
                <w:rFonts w:ascii="Calibri" w:eastAsia="Times New Roman" w:hAnsi="Calibri" w:cs="Calibri"/>
                <w:color w:val="000000"/>
                <w:lang w:eastAsia="pl-PL"/>
              </w:rPr>
              <w:t>w Politechnice Łódzkiej doświadczeń, rozwiązań i dobrych praktyk poznanych przez pracowników w ramach różnych form mobilności.</w:t>
            </w:r>
          </w:p>
        </w:tc>
      </w:tr>
      <w:tr w:rsidR="00213038" w:rsidRPr="0011366A" w14:paraId="02F9F83D" w14:textId="77777777" w:rsidTr="0049502C">
        <w:trPr>
          <w:trHeight w:val="1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F1B594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III.12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C11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29. Wartość mobilności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40E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Point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2083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CWM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EA5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Powstanie punktu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515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74DC" w14:textId="4AA60045" w:rsidR="00213038" w:rsidRPr="0011366A" w:rsidRDefault="00CE7150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Stworzenie punktu zajmującego się obsługą i pomocą dla naukowców zagranicznych przyjeżdżających na PŁ.</w:t>
            </w:r>
          </w:p>
        </w:tc>
      </w:tr>
      <w:tr w:rsidR="00213038" w:rsidRPr="0011366A" w14:paraId="3901B7AB" w14:textId="77777777" w:rsidTr="0049502C">
        <w:trPr>
          <w:trHeight w:val="3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B4E73E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III.13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206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29. Wartość mobilności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113F" w14:textId="77777777" w:rsidR="00CE7150" w:rsidRPr="00CE7150" w:rsidRDefault="00CE7150" w:rsidP="00CE7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Pozyskanie dofinansowania </w:t>
            </w:r>
          </w:p>
          <w:p w14:paraId="4D9ECE1A" w14:textId="5A982A92" w:rsidR="00213038" w:rsidRPr="0011366A" w:rsidRDefault="00CE7150" w:rsidP="00CE7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programów zewnętrznych oraz realizacja międzynarodowej mobilności pracowników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i doktorantów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A35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CWM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4AE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Wysokość pozyskanych środków na mobilność kadry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6BA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2022 - 2024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1425" w14:textId="4EE97315" w:rsidR="00213038" w:rsidRPr="0011366A" w:rsidRDefault="00CE7150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Działanie ma na celu umożliwienie wymiany akademickiej zarówno pomiędzy krajami UE, jak i spoza UE w celu budowania potencjału ludzkiego i naukowego, wymiany doświadczeń, pozyskania dobrych praktyk i rozwijania kompetencji zawodowych i językowych pracowników.</w:t>
            </w:r>
          </w:p>
        </w:tc>
      </w:tr>
      <w:tr w:rsidR="00213038" w:rsidRPr="0011366A" w14:paraId="51AF00D0" w14:textId="77777777" w:rsidTr="0049502C">
        <w:trPr>
          <w:trHeight w:val="303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EFE813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III.14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E94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30. Dostęp do doradztwa zawodowego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5AD5" w14:textId="57B0DB03" w:rsidR="00213038" w:rsidRPr="0011366A" w:rsidRDefault="00CE7150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indywidualnego programu doradztwa i coachingu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zakresie rozwoju zawodowego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i osobistego wsparcia pracownika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518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Biuro Karier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921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osób korzystających z doradztwa 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70D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2FF9" w14:textId="77777777" w:rsidR="00CE7150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368A59" w14:textId="32DC50EC" w:rsidR="00CE7150" w:rsidRPr="00CE7150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 indywidualne wsparcie pracowników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zakresie przezwyciężania trudności w realizacji celów zawodowych i osobistych. </w:t>
            </w:r>
          </w:p>
          <w:p w14:paraId="07C5E77B" w14:textId="53182558" w:rsidR="003E7C94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wspiera pracowników w sytuacji braku motywacji do działania, trudnych relacji w zespole, trudności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osiąganiu celów zawodowych lub wywiązywaniu się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z zadań,  budowania planów rozwoju zawodowego i innych mających wpływ na efektywność osobistą i zawodową pracownika.</w:t>
            </w:r>
          </w:p>
          <w:p w14:paraId="2566D808" w14:textId="77777777" w:rsidR="003E7C94" w:rsidRDefault="003E7C94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078A4D" w14:textId="66522CCF" w:rsidR="003E7C94" w:rsidRDefault="003E7C94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98DFABB" w14:textId="77777777" w:rsidR="00CE7150" w:rsidRDefault="00CE7150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26B9B3" w14:textId="757A6F2A" w:rsidR="003E7C94" w:rsidRPr="0011366A" w:rsidRDefault="003E7C94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3914E1B4" w14:textId="77777777" w:rsidTr="0049502C">
        <w:trPr>
          <w:trHeight w:val="349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BF0973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III.15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4B1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30. Dostęp do doradztwa zawodowego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2BD7" w14:textId="288F6ED7" w:rsidR="00213038" w:rsidRPr="0011366A" w:rsidRDefault="00CE7150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pracowników naukowych w budowaniu efektywnej współpracy zespołowej poprzez realizację programów team </w:t>
            </w:r>
            <w:proofErr w:type="spellStart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coachingowych</w:t>
            </w:r>
            <w:proofErr w:type="spellEnd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szkoleń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B98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Biuro Karier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96B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szkoleń z zakresu budowania efektywnej współpracy zespołowej. Liczba sesji </w:t>
            </w:r>
            <w:proofErr w:type="spellStart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coachingowych</w:t>
            </w:r>
            <w:proofErr w:type="spellEnd"/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pracowników naukowych 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B64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79E5" w14:textId="77777777" w:rsidR="00CE7150" w:rsidRPr="00CE7150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wsparcie zespołów w zakresie współpracy zespołowej, integracji, rozwiązywania konfliktów i trudnych sytuacji w zespole oraz wzmacnianie mocnych stron zespołu, na których mogą budować swoją skuteczność. </w:t>
            </w:r>
          </w:p>
          <w:p w14:paraId="35AAB74D" w14:textId="605D74E3" w:rsidR="00C81431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W konsekwencji działanie ma na celu zwiększenie efektywności ich pracy poprzez odpowiednie wykorzystanie potencjału ludzkiego i dobrą współpracę w zakresie osiągania celów zespołowych oraz indywidualnych celów naukowych i dydaktycznych.</w:t>
            </w:r>
          </w:p>
          <w:p w14:paraId="0CBC0712" w14:textId="7C5A1316" w:rsidR="00C81431" w:rsidRDefault="00C81431" w:rsidP="00C81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9B1F0A" w14:textId="280299C7" w:rsidR="00527DB3" w:rsidRDefault="00527DB3" w:rsidP="00C81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6D2244A" w14:textId="46C6D8D0" w:rsidR="00527DB3" w:rsidRDefault="00527DB3" w:rsidP="00C81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5788AAA" w14:textId="77777777" w:rsidR="00527DB3" w:rsidRDefault="00527DB3" w:rsidP="00C81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0E5BAC" w14:textId="77777777" w:rsidR="00C81431" w:rsidRDefault="00C81431" w:rsidP="00C81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C1C7A6" w14:textId="0CC538C1" w:rsidR="00C81431" w:rsidRPr="0011366A" w:rsidRDefault="00C81431" w:rsidP="00C81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7BA341A3" w14:textId="77777777" w:rsidTr="0049502C">
        <w:trPr>
          <w:trHeight w:val="300"/>
        </w:trPr>
        <w:tc>
          <w:tcPr>
            <w:tcW w:w="16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1238B48" w14:textId="77777777" w:rsidR="00213038" w:rsidRPr="0011366A" w:rsidRDefault="00213038" w:rsidP="00C81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IV. Szkolenia</w:t>
            </w:r>
          </w:p>
        </w:tc>
      </w:tr>
      <w:tr w:rsidR="00213038" w:rsidRPr="0011366A" w14:paraId="4A79B96E" w14:textId="77777777" w:rsidTr="0049502C">
        <w:trPr>
          <w:trHeight w:val="5599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1A0D6A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IV.1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777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38. Ciągły rozwój zawodowy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2562" w14:textId="27198537" w:rsidR="00213038" w:rsidRPr="0011366A" w:rsidRDefault="00CE7150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„YES – Young </w:t>
            </w:r>
            <w:proofErr w:type="spellStart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Excellent</w:t>
            </w:r>
            <w:proofErr w:type="spellEnd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Scientists</w:t>
            </w:r>
            <w:proofErr w:type="spellEnd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Programme</w:t>
            </w:r>
            <w:proofErr w:type="spellEnd"/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- wzmocnienie potencjału naukowego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kadrowego Politechniki Łódzkiej poprzez budowę nowych zespołów badawczych kierowanych przez wyróżniających się młodych badaczy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z kraju lub zagranicy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F9B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Nauki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D404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wyłonionych laureatów + liczba wniosków do konkursu o grant ERC (Europejskiej Rady ds. Badań Naukowych)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79B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8EFC" w14:textId="7FBC0919" w:rsidR="00C81431" w:rsidRDefault="00CE7150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Celem działania jest wzmocnienie potencjału naukowego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kadrowego Politechniki Łódzkiej poprzez budowę nowych zespołów badawczych kierowanych przez wyróżniających się młodych badaczy z kraju lub zagranicy. Program ma za zadanie doprowadzić do poprawy jakości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umiędzynarodowienia badań naukowych realizowanych w Politechnice Łódzkiej, rozwoju nowych specjalności badawczych w PŁ, wzrostu liczby składanych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pozyskiwanych międzynarodowych projektów badawczych, wzrostu liczby recenzowanych publikacji naukowych o zasięgu międzynarodowym zgodnie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z polityką otwartego dostępu oraz zwiększenia liczby zgłoszeń patentowych międzynarodowych i krajowych.</w:t>
            </w:r>
            <w:r w:rsidR="00C814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Szerzej o programie IDUB: </w:t>
            </w:r>
          </w:p>
          <w:p w14:paraId="7F84285E" w14:textId="4B3E500F" w:rsidR="00C81431" w:rsidRDefault="00C81431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https://konstytucjadlanauki.gov.pl/inicjatywa-doskonalosci-uczelnia-badawcza</w:t>
            </w:r>
          </w:p>
          <w:p w14:paraId="6110542A" w14:textId="30922757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7B07E512" w14:textId="77777777" w:rsidTr="0049502C">
        <w:trPr>
          <w:trHeight w:val="4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CB9990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IV.2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F2A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38. Ciągły rozwój zawodowy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5D4B" w14:textId="3E405B93" w:rsidR="00213038" w:rsidRPr="0011366A" w:rsidRDefault="00CE7150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„FU</w:t>
            </w:r>
            <w:r w:rsidRPr="005F483A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 – Fundusz Udoskonalania Umiejętności Młodych Naukowców” - wzmocnienie potencjału naukowego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kadrowego Politechniki Łódzkiej poprzez podnoszenie umiejętności doktorantów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młodych naukowców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przygotowywaniu wniosków o granty badawcze organizowane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konkursach zewnętrznych instytucji finansujących naukę oraz zwiększenie skuteczności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w pozyskiwaniu grantów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D18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Nauki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D6C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przyznanych grantów wewnętrznych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7D5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7521" w14:textId="77777777" w:rsidR="00CE7150" w:rsidRPr="00CE7150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Do Programu na granty wewnętrzne aplikować mogą:</w:t>
            </w:r>
          </w:p>
          <w:p w14:paraId="04013933" w14:textId="77777777" w:rsidR="00CE7150" w:rsidRPr="00CE7150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doktoranci pierwszego lub drugiego roku Interdyscyplinarnej Szkoły Doktorskiej Politechniki Łódzkiej; </w:t>
            </w:r>
          </w:p>
          <w:p w14:paraId="022B6A5E" w14:textId="23DEAF31" w:rsidR="00213038" w:rsidRDefault="00CE7150" w:rsidP="00CE71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młodzi naukowcy – tj. nauczyciele akademiccy zatrudnieni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grupie pracowników badawczych lub badawczo-dydaktycznych Politechniki Łódzkiej, dla których Politechnika Łódzka jest podstawowym miejscem pracy, którzy uzyskali stopień naukowy doktora maksymalnie 5 lat przed złożeniem wniosku o grant wewnętrzny.  </w:t>
            </w:r>
            <w:r w:rsidR="00C814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13038"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Szerzej</w:t>
            </w:r>
            <w:r w:rsidR="002130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13038"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o programie IDUB:</w:t>
            </w:r>
          </w:p>
          <w:p w14:paraId="79F304B1" w14:textId="3EF2C2E4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https://konstytucjadlanauki.gov.pl/inicjatywa-doskonalosci-uczelnia-badawcza</w:t>
            </w:r>
          </w:p>
        </w:tc>
      </w:tr>
      <w:tr w:rsidR="00213038" w:rsidRPr="0011366A" w14:paraId="044D8767" w14:textId="77777777" w:rsidTr="00527DB3">
        <w:trPr>
          <w:trHeight w:val="1099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EBDD98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IV.3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0C6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38. Ciągły rozwój zawodowy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97F7" w14:textId="30FF3955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Wizyty studyjne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przemyśle 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B77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ISD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6CA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wizyt studyjnych 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0D3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1348" w14:textId="5762420B" w:rsidR="00213038" w:rsidRPr="0011366A" w:rsidRDefault="00CE7150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Działanie, realizowane we współpracy z Samorządem Doktorantów, ma na celu zapoznanie uczestników wizyt z  przedsiębiorstwami i  realizowanymi w  przemyśle projektami, a także organizacją pracy. Wizyty studyjne pozwolą również na nawiązanie współpracy pomiędzy naukowcami a przemysłem.</w:t>
            </w:r>
          </w:p>
        </w:tc>
      </w:tr>
      <w:tr w:rsidR="00213038" w:rsidRPr="0011366A" w14:paraId="32552072" w14:textId="77777777" w:rsidTr="00527DB3">
        <w:trPr>
          <w:trHeight w:val="1099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03085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21755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620D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7002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B9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uczestników</w:t>
            </w: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BC3B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0D916" w14:textId="77777777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0E57DAE5" w14:textId="77777777" w:rsidTr="00527DB3">
        <w:trPr>
          <w:trHeight w:val="799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CA8E22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IV.4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643A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39. Dostęp do szkoleń naukowych oraz możliwość stałego rozwoju zawodowego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CF8C" w14:textId="59C8A8A2" w:rsidR="00213038" w:rsidRPr="0011366A" w:rsidRDefault="00CE7150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</w:t>
            </w:r>
            <w:r w:rsidR="003A6C9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popularyzacji badań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i osiągnieć naukowych dla pracowników naukowych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1CD5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Dział Promocji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CB3A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przeprowadzonych szkoleń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649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9346" w14:textId="2D8678FA" w:rsidR="00213038" w:rsidRPr="0011366A" w:rsidRDefault="00CE7150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przeszkolenie pracowników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color w:val="000000"/>
                <w:lang w:eastAsia="pl-PL"/>
              </w:rPr>
              <w:t>w zakresie formułowania przekazu, autoprezentacji oraz kontaktów z mediami.</w:t>
            </w:r>
          </w:p>
        </w:tc>
      </w:tr>
      <w:tr w:rsidR="00213038" w:rsidRPr="0011366A" w14:paraId="10B88347" w14:textId="77777777" w:rsidTr="00527DB3">
        <w:trPr>
          <w:trHeight w:val="799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53D6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C42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EF24C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2173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748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uczestników szkoleń</w:t>
            </w: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2AAF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5BCCB" w14:textId="77777777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42B3AF9A" w14:textId="77777777" w:rsidTr="00527DB3">
        <w:trPr>
          <w:trHeight w:val="12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90F1DE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IV.5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988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39. Dostęp do szkoleń naukowych oraz możliwość stałego rozwoju zawodowego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6CCD" w14:textId="4B799458" w:rsidR="00213038" w:rsidRPr="0011366A" w:rsidRDefault="00CE7150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E7150">
              <w:rPr>
                <w:rFonts w:ascii="Calibri" w:eastAsia="Times New Roman" w:hAnsi="Calibri" w:cs="Calibri"/>
                <w:lang w:eastAsia="pl-PL"/>
              </w:rPr>
              <w:t xml:space="preserve">Specjalistyczne szkolenia w obszarze komercjalizacji 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CE7150">
              <w:rPr>
                <w:rFonts w:ascii="Calibri" w:eastAsia="Times New Roman" w:hAnsi="Calibri" w:cs="Calibri"/>
                <w:lang w:eastAsia="pl-PL"/>
              </w:rPr>
              <w:t>i transferu wiedzy, ochrony własności intelektualnej (kontynuacja działań)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D4AF" w14:textId="7888E39A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lang w:eastAsia="pl-PL"/>
              </w:rPr>
              <w:t xml:space="preserve">Centrum Innowacji </w:t>
            </w:r>
            <w:r w:rsidR="00CE7150">
              <w:rPr>
                <w:rFonts w:ascii="Calibri" w:eastAsia="Times New Roman" w:hAnsi="Calibri" w:cs="Calibri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lang w:eastAsia="pl-PL"/>
              </w:rPr>
              <w:t>i</w:t>
            </w:r>
            <w:r w:rsidR="00CE715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11366A">
              <w:rPr>
                <w:rFonts w:ascii="Calibri" w:eastAsia="Times New Roman" w:hAnsi="Calibri" w:cs="Calibri"/>
                <w:lang w:eastAsia="pl-PL"/>
              </w:rPr>
              <w:t>Przedsiębiorczości (Sekcja Transferu Technologii oraz Sekcja Rzeczników Patentowych)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054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szkoleń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6E7B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178F" w14:textId="705082D0" w:rsidR="00213038" w:rsidRPr="0011366A" w:rsidRDefault="00982492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ma na celu podniesienie kompetencji i wiedzy pracowników w zakresie komercjalizacji technologii, ochrony własności intelektualnej i skuteczniej współpracy nauka – biznes. Działanie jest szczególnie istotne ze względu na możliwość pozyskania zewnętrznego finansowania (w tym ze środków unijnych), w których środki kierowane są na projekty badawcze realizowane wspólnie przez przemysł i naukowców, a ochrona </w:t>
            </w:r>
            <w:r w:rsidR="00527DB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82492">
              <w:rPr>
                <w:rFonts w:ascii="Calibri" w:eastAsia="Times New Roman" w:hAnsi="Calibri" w:cs="Calibri"/>
                <w:color w:val="000000"/>
                <w:lang w:eastAsia="pl-PL"/>
              </w:rPr>
              <w:t>i zarządzanie wynikami prac badawczych musi być ściśle określona już na etapie aplikowania o grant.</w:t>
            </w:r>
          </w:p>
        </w:tc>
      </w:tr>
      <w:tr w:rsidR="00213038" w:rsidRPr="0011366A" w14:paraId="39885B2D" w14:textId="77777777" w:rsidTr="00527DB3">
        <w:trPr>
          <w:trHeight w:val="12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47AF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D3AC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4CC38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B6EB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2B4F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uczestników</w:t>
            </w: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164D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8E14" w14:textId="77777777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52BFF676" w14:textId="77777777" w:rsidTr="0049502C">
        <w:trPr>
          <w:trHeight w:val="12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E92E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5B129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A2930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B1897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1FF6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Liczba indywidualnych konsultacji</w:t>
            </w: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608AA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75BF6" w14:textId="77777777" w:rsidR="00213038" w:rsidRPr="0011366A" w:rsidRDefault="00213038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3038" w:rsidRPr="0011366A" w14:paraId="3011E67B" w14:textId="77777777" w:rsidTr="0049502C">
        <w:trPr>
          <w:trHeight w:val="42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5EDDB7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IV.6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8EF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39. Dostęp do szkoleń naukowych oraz możliwość stałego rozwoju zawodowego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AF1B" w14:textId="1B21A592" w:rsidR="00213038" w:rsidRPr="0011366A" w:rsidRDefault="00982492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82492">
              <w:rPr>
                <w:rFonts w:ascii="Calibri" w:eastAsia="Times New Roman" w:hAnsi="Calibri" w:cs="Calibri"/>
                <w:lang w:eastAsia="pl-PL"/>
              </w:rPr>
              <w:t xml:space="preserve">Seria spotkań, pokazów/prezentacji w konwencji targów dla zaprezentowania przez naukowców technologii pod kątem podjęcia współpracy 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982492">
              <w:rPr>
                <w:rFonts w:ascii="Calibri" w:eastAsia="Times New Roman" w:hAnsi="Calibri" w:cs="Calibri"/>
                <w:lang w:eastAsia="pl-PL"/>
              </w:rPr>
              <w:t>z przemysłem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8CC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Sekcja Transferu Technologii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873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lang w:eastAsia="pl-PL"/>
              </w:rPr>
              <w:t xml:space="preserve">Liczba spotkań, pokazów/prezentacji w konwencji targowej 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19CD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8D63" w14:textId="39CD9E5E" w:rsidR="00213038" w:rsidRPr="0011366A" w:rsidRDefault="00982492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82492">
              <w:rPr>
                <w:rFonts w:ascii="Calibri" w:eastAsia="Times New Roman" w:hAnsi="Calibri" w:cs="Calibri"/>
                <w:lang w:eastAsia="pl-PL"/>
              </w:rPr>
              <w:t>Działanie ma na celu ułatwienie kontaktu i podjęcia współpracy pomiędzy naukowcami i przedstawicielami przemysłu. Efektem spotkań, prezentacji jest nawiązanie wielopłaszczyznowej współpracy z otoczeniem biznesowym, przemysłowym, wspieranie budowania marki osobistej pracowników Uczelni, ich rozpoznawalności wśród innych naukowców na arenie krajowej oraz międzynarodowej.</w:t>
            </w:r>
            <w:r w:rsidR="0049502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9502C">
              <w:rPr>
                <w:rFonts w:ascii="Calibri" w:eastAsia="Times New Roman" w:hAnsi="Calibri" w:cs="Calibri"/>
                <w:lang w:eastAsia="pl-PL"/>
              </w:rPr>
              <w:br/>
              <w:t>Spotkania branżowe z przedstawicielami</w:t>
            </w:r>
            <w:r w:rsidRPr="00982492">
              <w:rPr>
                <w:rFonts w:ascii="Calibri" w:eastAsia="Times New Roman" w:hAnsi="Calibri" w:cs="Calibri"/>
                <w:lang w:eastAsia="pl-PL"/>
              </w:rPr>
              <w:t xml:space="preserve"> przemysłu, instytucji otoczenia gospodarczego dostarczają informacji o aktualnych wymogach legislacyjnych, potrzebach firm, dzięki czemu pracownicy planują i realizują badania pod konkretne wyzwania.</w:t>
            </w:r>
          </w:p>
        </w:tc>
      </w:tr>
      <w:tr w:rsidR="00213038" w:rsidRPr="0011366A" w14:paraId="341A2A3F" w14:textId="77777777" w:rsidTr="0049502C">
        <w:trPr>
          <w:trHeight w:val="24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C3DC85" w14:textId="77777777" w:rsidR="00213038" w:rsidRPr="0011366A" w:rsidRDefault="00213038" w:rsidP="007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IV.7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9A02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39. Dostęp do szkoleń naukowych oraz możliwość stałego rozwoju zawodowego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0156" w14:textId="20687DE4" w:rsidR="00213038" w:rsidRPr="0011366A" w:rsidRDefault="00982492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Obowiązkowe szkolenia wstępne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82492">
              <w:rPr>
                <w:rFonts w:ascii="Calibri" w:eastAsia="Times New Roman" w:hAnsi="Calibri" w:cs="Calibri"/>
                <w:color w:val="000000"/>
                <w:lang w:eastAsia="pl-PL"/>
              </w:rPr>
              <w:t>z zakresu komercjalizacji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82492">
              <w:rPr>
                <w:rFonts w:ascii="Calibri" w:eastAsia="Times New Roman" w:hAnsi="Calibri" w:cs="Calibri"/>
                <w:color w:val="000000"/>
                <w:lang w:eastAsia="pl-PL"/>
              </w:rPr>
              <w:t>i transferu wiedzy dla nowo zatrudnianych pracowników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2C71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Sekcja Transferu Technologii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A99E" w14:textId="4BCD7155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nowych pracowników przeszkolonych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zakresu komercjalizacji </w:t>
            </w:r>
            <w:r w:rsidR="009824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i transferu wiedzy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DF94" w14:textId="77777777" w:rsidR="00213038" w:rsidRPr="0011366A" w:rsidRDefault="00213038" w:rsidP="0077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66A">
              <w:rPr>
                <w:rFonts w:ascii="Calibri" w:eastAsia="Times New Roman" w:hAnsi="Calibri" w:cs="Calibri"/>
                <w:color w:val="000000"/>
                <w:lang w:eastAsia="pl-PL"/>
              </w:rPr>
              <w:t>2022-2024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E7B1" w14:textId="6FABA659" w:rsidR="00213038" w:rsidRPr="0011366A" w:rsidRDefault="00982492" w:rsidP="00213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82492">
              <w:rPr>
                <w:rFonts w:ascii="Calibri" w:eastAsia="Times New Roman" w:hAnsi="Calibri" w:cs="Calibri"/>
                <w:lang w:eastAsia="pl-PL"/>
              </w:rPr>
              <w:t xml:space="preserve">Działanie ma na celu wzmocnienie świadomości korzyści płynących z komercjalizacji i transferu wiedzy, a także niebezpieczeństw związanych z utratą praw własności intelektualnej. W trakcie szkoleń pracownicy zapoznają się także z aktualnymi aktami wewnętrznymi obowiązującymi 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982492">
              <w:rPr>
                <w:rFonts w:ascii="Calibri" w:eastAsia="Times New Roman" w:hAnsi="Calibri" w:cs="Calibri"/>
                <w:lang w:eastAsia="pl-PL"/>
              </w:rPr>
              <w:t>(w zakresie komercjalizacji i transferu technologii) na Uczelni.</w:t>
            </w:r>
          </w:p>
        </w:tc>
      </w:tr>
    </w:tbl>
    <w:p w14:paraId="448F58FD" w14:textId="77777777" w:rsidR="008F6923" w:rsidRDefault="008F6923"/>
    <w:sectPr w:rsidR="008F6923" w:rsidSect="0021303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8646" w14:textId="77777777" w:rsidR="00FE4139" w:rsidRDefault="00FE4139" w:rsidP="00213038">
      <w:pPr>
        <w:spacing w:after="0" w:line="240" w:lineRule="auto"/>
      </w:pPr>
      <w:r>
        <w:separator/>
      </w:r>
    </w:p>
  </w:endnote>
  <w:endnote w:type="continuationSeparator" w:id="0">
    <w:p w14:paraId="236FA5C5" w14:textId="77777777" w:rsidR="00FE4139" w:rsidRDefault="00FE4139" w:rsidP="002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225655"/>
      <w:docPartObj>
        <w:docPartGallery w:val="Page Numbers (Bottom of Page)"/>
        <w:docPartUnique/>
      </w:docPartObj>
    </w:sdtPr>
    <w:sdtEndPr/>
    <w:sdtContent>
      <w:p w14:paraId="0636C191" w14:textId="0D7590E7" w:rsidR="00BC3659" w:rsidRDefault="008A13AD">
        <w:pPr>
          <w:pStyle w:val="Stopka"/>
          <w:jc w:val="center"/>
        </w:pPr>
        <w:r w:rsidRPr="00113B4F"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75A3C3C3" wp14:editId="0EB5197B">
              <wp:simplePos x="0" y="0"/>
              <wp:positionH relativeFrom="column">
                <wp:posOffset>8501975</wp:posOffset>
              </wp:positionH>
              <wp:positionV relativeFrom="paragraph">
                <wp:posOffset>-47787</wp:posOffset>
              </wp:positionV>
              <wp:extent cx="1093470" cy="771525"/>
              <wp:effectExtent l="0" t="0" r="0" b="9525"/>
              <wp:wrapNone/>
              <wp:docPr id="6" name="Obraz 6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elated im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043" t="10435" r="17391" b="12464"/>
                      <a:stretch/>
                    </pic:blipFill>
                    <pic:spPr bwMode="auto">
                      <a:xfrm>
                        <a:off x="0" y="0"/>
                        <a:ext cx="109347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3B4F"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3DB67D68" wp14:editId="3340396E">
              <wp:simplePos x="0" y="0"/>
              <wp:positionH relativeFrom="margin">
                <wp:posOffset>-719847</wp:posOffset>
              </wp:positionH>
              <wp:positionV relativeFrom="paragraph">
                <wp:posOffset>-111922</wp:posOffset>
              </wp:positionV>
              <wp:extent cx="1485900" cy="835660"/>
              <wp:effectExtent l="0" t="0" r="0" b="2540"/>
              <wp:wrapNone/>
              <wp:docPr id="5" name="Obraz 5" descr="Image result for politechnika ÅÃ³dzka logo 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politechnika ÅÃ³dzka logo 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3659">
          <w:fldChar w:fldCharType="begin"/>
        </w:r>
        <w:r w:rsidR="00BC3659">
          <w:instrText>PAGE   \* MERGEFORMAT</w:instrText>
        </w:r>
        <w:r w:rsidR="00BC3659">
          <w:fldChar w:fldCharType="separate"/>
        </w:r>
        <w:r w:rsidR="00BC3659">
          <w:t>2</w:t>
        </w:r>
        <w:r w:rsidR="00BC3659">
          <w:fldChar w:fldCharType="end"/>
        </w:r>
      </w:p>
    </w:sdtContent>
  </w:sdt>
  <w:p w14:paraId="0EE965D0" w14:textId="1D06158D" w:rsidR="00BC3659" w:rsidRDefault="00BC3659" w:rsidP="008A13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BEB9" w14:textId="77777777" w:rsidR="00FE4139" w:rsidRDefault="00FE4139" w:rsidP="00213038">
      <w:pPr>
        <w:spacing w:after="0" w:line="240" w:lineRule="auto"/>
      </w:pPr>
      <w:r>
        <w:separator/>
      </w:r>
    </w:p>
  </w:footnote>
  <w:footnote w:type="continuationSeparator" w:id="0">
    <w:p w14:paraId="14532BD9" w14:textId="77777777" w:rsidR="00FE4139" w:rsidRDefault="00FE4139" w:rsidP="0021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6302" w:type="dxa"/>
      <w:tblInd w:w="-11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86"/>
      <w:gridCol w:w="2189"/>
      <w:gridCol w:w="2108"/>
      <w:gridCol w:w="1697"/>
      <w:gridCol w:w="1978"/>
      <w:gridCol w:w="2447"/>
      <w:gridCol w:w="5397"/>
    </w:tblGrid>
    <w:tr w:rsidR="00213038" w14:paraId="0E12EDCC" w14:textId="77777777" w:rsidTr="0049502C">
      <w:tc>
        <w:tcPr>
          <w:tcW w:w="16302" w:type="dxa"/>
          <w:gridSpan w:val="7"/>
          <w:shd w:val="clear" w:color="auto" w:fill="D9E2F3" w:themeFill="accent1" w:themeFillTint="33"/>
          <w:vAlign w:val="center"/>
        </w:tcPr>
        <w:p w14:paraId="548504B8" w14:textId="777EE93F" w:rsidR="00213038" w:rsidRPr="0011366A" w:rsidRDefault="00213038" w:rsidP="00213038">
          <w:pPr>
            <w:pStyle w:val="Nagwek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pl-PL"/>
            </w:rPr>
            <w:t>Plan Działań na lata 2022-2024</w:t>
          </w:r>
        </w:p>
      </w:tc>
    </w:tr>
    <w:tr w:rsidR="00213038" w14:paraId="4C5F824B" w14:textId="77777777" w:rsidTr="002C72ED">
      <w:tc>
        <w:tcPr>
          <w:tcW w:w="486" w:type="dxa"/>
          <w:shd w:val="clear" w:color="auto" w:fill="D0CECE" w:themeFill="background2" w:themeFillShade="E6"/>
          <w:vAlign w:val="center"/>
        </w:tcPr>
        <w:p w14:paraId="6F3B47D5" w14:textId="72169DD0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Lp.</w:t>
          </w:r>
        </w:p>
      </w:tc>
      <w:tc>
        <w:tcPr>
          <w:tcW w:w="2189" w:type="dxa"/>
          <w:shd w:val="clear" w:color="auto" w:fill="D0CECE" w:themeFill="background2" w:themeFillShade="E6"/>
          <w:vAlign w:val="center"/>
        </w:tcPr>
        <w:p w14:paraId="503FA08D" w14:textId="2D307F1C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 xml:space="preserve">Wskazane luki </w:t>
          </w:r>
          <w:r w:rsidR="005900E0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br/>
          </w: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z analizy Gap Analysis (40</w:t>
          </w:r>
          <w:r w:rsidR="005900E0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 xml:space="preserve"> </w:t>
          </w: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zagadnień C&amp;C)</w:t>
          </w:r>
        </w:p>
      </w:tc>
      <w:tc>
        <w:tcPr>
          <w:tcW w:w="2108" w:type="dxa"/>
          <w:shd w:val="clear" w:color="auto" w:fill="D0CECE" w:themeFill="background2" w:themeFillShade="E6"/>
          <w:vAlign w:val="center"/>
        </w:tcPr>
        <w:p w14:paraId="33FF29E6" w14:textId="61221355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Nazwa działania</w:t>
          </w:r>
        </w:p>
      </w:tc>
      <w:tc>
        <w:tcPr>
          <w:tcW w:w="1697" w:type="dxa"/>
          <w:shd w:val="clear" w:color="auto" w:fill="D0CECE" w:themeFill="background2" w:themeFillShade="E6"/>
          <w:vAlign w:val="center"/>
        </w:tcPr>
        <w:p w14:paraId="5EF72CE0" w14:textId="734C9671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Jednostka koordynująca</w:t>
          </w:r>
        </w:p>
      </w:tc>
      <w:tc>
        <w:tcPr>
          <w:tcW w:w="1978" w:type="dxa"/>
          <w:shd w:val="clear" w:color="auto" w:fill="D0CECE" w:themeFill="background2" w:themeFillShade="E6"/>
          <w:vAlign w:val="center"/>
        </w:tcPr>
        <w:p w14:paraId="4B8182CA" w14:textId="5C3462D6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Wskaźniki/cele</w:t>
          </w:r>
        </w:p>
      </w:tc>
      <w:tc>
        <w:tcPr>
          <w:tcW w:w="2447" w:type="dxa"/>
          <w:shd w:val="clear" w:color="auto" w:fill="D0CECE" w:themeFill="background2" w:themeFillShade="E6"/>
          <w:vAlign w:val="center"/>
        </w:tcPr>
        <w:p w14:paraId="42834B10" w14:textId="18B99407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Planowany harmonogram realizacji działania (od-do wyrażony w kwartałach/semestrach)</w:t>
          </w:r>
        </w:p>
      </w:tc>
      <w:tc>
        <w:tcPr>
          <w:tcW w:w="5397" w:type="dxa"/>
          <w:shd w:val="clear" w:color="auto" w:fill="D0CECE" w:themeFill="background2" w:themeFillShade="E6"/>
          <w:vAlign w:val="center"/>
        </w:tcPr>
        <w:p w14:paraId="41E369D2" w14:textId="22709002" w:rsidR="00213038" w:rsidRDefault="00213038" w:rsidP="00213038">
          <w:pPr>
            <w:pStyle w:val="Nagwek"/>
            <w:jc w:val="center"/>
          </w:pPr>
          <w:r w:rsidRPr="0011366A">
            <w:rPr>
              <w:rFonts w:ascii="Calibri" w:eastAsia="Times New Roman" w:hAnsi="Calibri" w:cs="Calibri"/>
              <w:b/>
              <w:bCs/>
              <w:color w:val="000000"/>
              <w:lang w:eastAsia="pl-PL"/>
            </w:rPr>
            <w:t>Informacje dodatkowe</w:t>
          </w:r>
        </w:p>
      </w:tc>
    </w:tr>
  </w:tbl>
  <w:p w14:paraId="251D8D98" w14:textId="77777777" w:rsidR="00213038" w:rsidRDefault="0021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21F"/>
    <w:multiLevelType w:val="hybridMultilevel"/>
    <w:tmpl w:val="791A7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D6"/>
    <w:rsid w:val="001569F7"/>
    <w:rsid w:val="0019396B"/>
    <w:rsid w:val="00201AF5"/>
    <w:rsid w:val="00213038"/>
    <w:rsid w:val="002B5477"/>
    <w:rsid w:val="002C72ED"/>
    <w:rsid w:val="00313F00"/>
    <w:rsid w:val="003A6C9C"/>
    <w:rsid w:val="003E7C94"/>
    <w:rsid w:val="0049502C"/>
    <w:rsid w:val="00527DB3"/>
    <w:rsid w:val="005557D6"/>
    <w:rsid w:val="005900E0"/>
    <w:rsid w:val="005F483A"/>
    <w:rsid w:val="00680A9B"/>
    <w:rsid w:val="00686B20"/>
    <w:rsid w:val="006A5490"/>
    <w:rsid w:val="006B089B"/>
    <w:rsid w:val="007A1B12"/>
    <w:rsid w:val="008033D7"/>
    <w:rsid w:val="0086725F"/>
    <w:rsid w:val="008A13AD"/>
    <w:rsid w:val="008F6923"/>
    <w:rsid w:val="0097079F"/>
    <w:rsid w:val="00982492"/>
    <w:rsid w:val="00A0264D"/>
    <w:rsid w:val="00B47163"/>
    <w:rsid w:val="00BC3659"/>
    <w:rsid w:val="00C2797B"/>
    <w:rsid w:val="00C81431"/>
    <w:rsid w:val="00CE7150"/>
    <w:rsid w:val="00E427C9"/>
    <w:rsid w:val="00FB388D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692EB"/>
  <w15:chartTrackingRefBased/>
  <w15:docId w15:val="{4E046B7E-4844-4647-AE65-78BAC30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38"/>
  </w:style>
  <w:style w:type="paragraph" w:styleId="Stopka">
    <w:name w:val="footer"/>
    <w:basedOn w:val="Normalny"/>
    <w:link w:val="StopkaZnak"/>
    <w:uiPriority w:val="99"/>
    <w:unhideWhenUsed/>
    <w:rsid w:val="0021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38"/>
  </w:style>
  <w:style w:type="table" w:styleId="Tabela-Siatka">
    <w:name w:val="Table Grid"/>
    <w:basedOn w:val="Standardowy"/>
    <w:uiPriority w:val="39"/>
    <w:rsid w:val="0021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3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stytucjadlanauki.gov.pl/inicjatywa-doskonalosci-uczelnia-badaw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</cp:lastModifiedBy>
  <cp:revision>16</cp:revision>
  <cp:lastPrinted>2021-12-15T07:50:00Z</cp:lastPrinted>
  <dcterms:created xsi:type="dcterms:W3CDTF">2021-12-10T10:56:00Z</dcterms:created>
  <dcterms:modified xsi:type="dcterms:W3CDTF">2021-12-20T07:02:00Z</dcterms:modified>
</cp:coreProperties>
</file>