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2B16" w14:textId="3425DB81" w:rsidR="00A61F4F" w:rsidRPr="004D4754" w:rsidRDefault="00EF2579" w:rsidP="00E80C2A">
      <w:pPr>
        <w:jc w:val="center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/>
          <w:noProof/>
          <w:szCs w:val="22"/>
        </w:rPr>
        <w:pict w14:anchorId="625B4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7" type="#_x0000_t75" alt="logo2_" style="position:absolute;left:0;text-align:left;margin-left:0;margin-top:-17.8pt;width:62.95pt;height:98.8pt;z-index:251657728;visibility:visible;mso-wrap-edited:f">
            <v:imagedata r:id="rId8" o:title="logo2_"/>
            <w10:wrap type="square"/>
          </v:shape>
        </w:pict>
      </w:r>
      <w:r w:rsidR="00EE01E4" w:rsidRPr="004D4754">
        <w:rPr>
          <w:rFonts w:ascii="Tahoma" w:hAnsi="Tahoma" w:cs="Tahoma"/>
          <w:bCs/>
          <w:szCs w:val="22"/>
        </w:rPr>
        <w:t>Zarządzenie</w:t>
      </w:r>
      <w:r w:rsidR="00A61F4F" w:rsidRPr="004D4754">
        <w:rPr>
          <w:rFonts w:ascii="Tahoma" w:hAnsi="Tahoma" w:cs="Tahoma"/>
          <w:bCs/>
          <w:szCs w:val="22"/>
        </w:rPr>
        <w:t xml:space="preserve"> Nr </w:t>
      </w:r>
      <w:r w:rsidR="00775B60">
        <w:rPr>
          <w:rFonts w:ascii="Tahoma" w:hAnsi="Tahoma" w:cs="Tahoma"/>
          <w:bCs/>
          <w:szCs w:val="22"/>
        </w:rPr>
        <w:t>76</w:t>
      </w:r>
      <w:r w:rsidR="00A61F4F" w:rsidRPr="004D4754">
        <w:rPr>
          <w:rFonts w:ascii="Tahoma" w:hAnsi="Tahoma" w:cs="Tahoma"/>
          <w:bCs/>
          <w:szCs w:val="22"/>
        </w:rPr>
        <w:t>/202</w:t>
      </w:r>
      <w:r w:rsidR="00C44396">
        <w:rPr>
          <w:rFonts w:ascii="Tahoma" w:hAnsi="Tahoma" w:cs="Tahoma"/>
          <w:bCs/>
          <w:szCs w:val="22"/>
        </w:rPr>
        <w:t>1</w:t>
      </w:r>
    </w:p>
    <w:p w14:paraId="0CCB9BD9" w14:textId="77777777" w:rsidR="00EE01E4" w:rsidRPr="004D4754" w:rsidRDefault="00EE01E4" w:rsidP="00EE01E4">
      <w:pPr>
        <w:ind w:left="1418"/>
        <w:jc w:val="center"/>
        <w:rPr>
          <w:rFonts w:ascii="Tahoma" w:hAnsi="Tahoma" w:cs="Tahoma"/>
          <w:bCs/>
          <w:szCs w:val="22"/>
        </w:rPr>
      </w:pPr>
      <w:r w:rsidRPr="004D4754">
        <w:rPr>
          <w:rFonts w:ascii="Tahoma" w:hAnsi="Tahoma" w:cs="Tahoma"/>
          <w:bCs/>
          <w:szCs w:val="22"/>
        </w:rPr>
        <w:t>Rektora Politechniki Łódzkiej</w:t>
      </w:r>
    </w:p>
    <w:p w14:paraId="7A2697CA" w14:textId="19FCC4AD" w:rsidR="00EE01E4" w:rsidRPr="004D4754" w:rsidRDefault="00EE01E4" w:rsidP="00EE01E4">
      <w:pPr>
        <w:ind w:left="1418"/>
        <w:jc w:val="center"/>
        <w:rPr>
          <w:rFonts w:ascii="Tahoma" w:hAnsi="Tahoma" w:cs="Tahoma"/>
          <w:bCs/>
          <w:szCs w:val="22"/>
        </w:rPr>
      </w:pPr>
      <w:r w:rsidRPr="004D4754">
        <w:rPr>
          <w:rFonts w:ascii="Tahoma" w:hAnsi="Tahoma" w:cs="Tahoma"/>
          <w:bCs/>
          <w:szCs w:val="22"/>
        </w:rPr>
        <w:t xml:space="preserve">z dnia </w:t>
      </w:r>
      <w:r w:rsidR="00775B60">
        <w:rPr>
          <w:rFonts w:ascii="Tahoma" w:hAnsi="Tahoma" w:cs="Tahoma"/>
          <w:bCs/>
          <w:szCs w:val="22"/>
        </w:rPr>
        <w:t>15</w:t>
      </w:r>
      <w:r w:rsidRPr="004D4754">
        <w:rPr>
          <w:rFonts w:ascii="Tahoma" w:hAnsi="Tahoma" w:cs="Tahoma"/>
          <w:bCs/>
          <w:szCs w:val="22"/>
        </w:rPr>
        <w:t xml:space="preserve"> </w:t>
      </w:r>
      <w:r w:rsidR="002741CB">
        <w:rPr>
          <w:rFonts w:ascii="Tahoma" w:hAnsi="Tahoma" w:cs="Tahoma"/>
          <w:bCs/>
          <w:szCs w:val="22"/>
        </w:rPr>
        <w:t xml:space="preserve">grudnia </w:t>
      </w:r>
      <w:r w:rsidRPr="004D4754">
        <w:rPr>
          <w:rFonts w:ascii="Tahoma" w:hAnsi="Tahoma" w:cs="Tahoma"/>
          <w:bCs/>
          <w:szCs w:val="22"/>
        </w:rPr>
        <w:t>202</w:t>
      </w:r>
      <w:r w:rsidR="00C44396">
        <w:rPr>
          <w:rFonts w:ascii="Tahoma" w:hAnsi="Tahoma" w:cs="Tahoma"/>
          <w:bCs/>
          <w:szCs w:val="22"/>
        </w:rPr>
        <w:t>1</w:t>
      </w:r>
      <w:r w:rsidRPr="004D4754">
        <w:rPr>
          <w:rFonts w:ascii="Tahoma" w:hAnsi="Tahoma" w:cs="Tahoma"/>
          <w:bCs/>
          <w:szCs w:val="22"/>
        </w:rPr>
        <w:t xml:space="preserve"> r.</w:t>
      </w:r>
    </w:p>
    <w:p w14:paraId="359A16EC" w14:textId="20893878" w:rsidR="00203DF0" w:rsidRPr="00C44396" w:rsidRDefault="00D02B62" w:rsidP="00C44396">
      <w:pPr>
        <w:spacing w:before="120"/>
        <w:ind w:left="1418"/>
        <w:jc w:val="center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w sprawie zmian Regulaminu pracy w Politechnice Łódzkiej</w:t>
      </w:r>
      <w:r>
        <w:rPr>
          <w:rFonts w:ascii="Tahoma" w:hAnsi="Tahoma" w:cs="Tahoma"/>
          <w:bCs/>
          <w:szCs w:val="22"/>
        </w:rPr>
        <w:br/>
        <w:t>wprowadzon</w:t>
      </w:r>
      <w:r w:rsidR="005E5682">
        <w:rPr>
          <w:rFonts w:ascii="Tahoma" w:hAnsi="Tahoma" w:cs="Tahoma"/>
          <w:bCs/>
          <w:szCs w:val="22"/>
        </w:rPr>
        <w:t>ym</w:t>
      </w:r>
      <w:r w:rsidR="00C44396">
        <w:rPr>
          <w:rFonts w:ascii="Tahoma" w:hAnsi="Tahoma" w:cs="Tahoma"/>
          <w:bCs/>
          <w:szCs w:val="22"/>
        </w:rPr>
        <w:t xml:space="preserve"> Zarządzenie</w:t>
      </w:r>
      <w:r>
        <w:rPr>
          <w:rFonts w:ascii="Tahoma" w:hAnsi="Tahoma" w:cs="Tahoma"/>
          <w:bCs/>
          <w:szCs w:val="22"/>
        </w:rPr>
        <w:t>m</w:t>
      </w:r>
      <w:r w:rsidR="00C44396">
        <w:rPr>
          <w:rFonts w:ascii="Tahoma" w:hAnsi="Tahoma" w:cs="Tahoma"/>
          <w:bCs/>
          <w:szCs w:val="22"/>
        </w:rPr>
        <w:t xml:space="preserve"> Nr 45/2019 Rektora Politechniki Łódzkiej</w:t>
      </w:r>
      <w:r w:rsidR="00C44396">
        <w:rPr>
          <w:rFonts w:ascii="Tahoma" w:hAnsi="Tahoma" w:cs="Tahoma"/>
          <w:bCs/>
          <w:szCs w:val="22"/>
        </w:rPr>
        <w:br/>
        <w:t xml:space="preserve">z dnia 16 września 2019 r. </w:t>
      </w:r>
    </w:p>
    <w:p w14:paraId="28352D54" w14:textId="77777777" w:rsidR="005E5682" w:rsidRPr="00C74F31" w:rsidRDefault="005E5682" w:rsidP="00C74F31">
      <w:pPr>
        <w:spacing w:before="120"/>
        <w:jc w:val="both"/>
      </w:pPr>
    </w:p>
    <w:p w14:paraId="59D5440E" w14:textId="468F6955" w:rsidR="005E5682" w:rsidRPr="002741CB" w:rsidRDefault="005E5682" w:rsidP="005E5682">
      <w:pPr>
        <w:spacing w:before="120"/>
        <w:jc w:val="both"/>
      </w:pPr>
      <w:r>
        <w:rPr>
          <w:color w:val="000000"/>
        </w:rPr>
        <w:t>Działając na podstawie art. 23 ust. 1 i ust. 2 pkt 5, art. 116 ust. 6, art. 126 ust. 1, art. 127 ust. 4 i ust. 5, art. 129 ust. 4 i art. 147 ust. 1 ustawy z dnia 20 lipca 2018 r. – Prawo o szkolnictwie wyższym i nauce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 U. z 2021 r. poz. 478,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oraz na podstawie art. 5, art. 22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§ 6, art. 104 § 1 i 1</w:t>
      </w:r>
      <w:r>
        <w:rPr>
          <w:color w:val="000000"/>
          <w:vertAlign w:val="superscript"/>
        </w:rPr>
        <w:t>1</w:t>
      </w:r>
      <w:r>
        <w:rPr>
          <w:color w:val="000000"/>
        </w:rPr>
        <w:t>, art.</w:t>
      </w:r>
      <w:r w:rsidR="0076583E">
        <w:rPr>
          <w:color w:val="000000"/>
        </w:rPr>
        <w:t> </w:t>
      </w:r>
      <w:r>
        <w:rPr>
          <w:color w:val="000000"/>
        </w:rPr>
        <w:t>104</w:t>
      </w:r>
      <w:r>
        <w:rPr>
          <w:color w:val="000000"/>
          <w:vertAlign w:val="superscript"/>
        </w:rPr>
        <w:t>1</w:t>
      </w:r>
      <w:r>
        <w:rPr>
          <w:color w:val="000000"/>
        </w:rPr>
        <w:t>, 104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§ 1, art. 104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§ 1, art. 150 § 1, art. 151 § 4 i art. 200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§ 4 ustawy z dnia 26 czerwca 1974</w:t>
      </w:r>
      <w:r w:rsidR="006F10DA">
        <w:rPr>
          <w:color w:val="000000"/>
        </w:rPr>
        <w:t> </w:t>
      </w:r>
      <w:r>
        <w:rPr>
          <w:color w:val="000000"/>
        </w:rPr>
        <w:t xml:space="preserve">r. </w:t>
      </w:r>
      <w:r w:rsidR="002741CB">
        <w:rPr>
          <w:color w:val="000000"/>
        </w:rPr>
        <w:t xml:space="preserve">– </w:t>
      </w:r>
      <w:r>
        <w:rPr>
          <w:color w:val="000000"/>
        </w:rPr>
        <w:t>Kodeks pracy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 U. z 2020 r. poz. 1320,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uzgodnieniu </w:t>
      </w:r>
      <w:r>
        <w:t>z działającymi w</w:t>
      </w:r>
      <w:r w:rsidR="006F10DA">
        <w:t> </w:t>
      </w:r>
      <w:r>
        <w:t xml:space="preserve">uczelni organizacjami związkowymi, </w:t>
      </w:r>
      <w:r>
        <w:rPr>
          <w:bCs/>
          <w:color w:val="000000"/>
        </w:rPr>
        <w:t>zarządzam, co następuje:</w:t>
      </w:r>
    </w:p>
    <w:p w14:paraId="65A0BBAE" w14:textId="77777777" w:rsidR="005E5682" w:rsidRDefault="005E5682" w:rsidP="00D079FB">
      <w:pPr>
        <w:spacing w:before="120" w:line="276" w:lineRule="auto"/>
        <w:jc w:val="center"/>
      </w:pPr>
      <w:r>
        <w:t>§ 1</w:t>
      </w:r>
    </w:p>
    <w:p w14:paraId="624CDFF2" w14:textId="7CE61D8B" w:rsidR="005E5682" w:rsidRDefault="005E5682" w:rsidP="005E5682">
      <w:pPr>
        <w:spacing w:before="120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W Regulaminie pracy w Politechnice Łódzkiej stanowiącym załącznik do Zarządzenia Nr 45/2019 </w:t>
      </w:r>
      <w:r w:rsidRPr="00C85400">
        <w:rPr>
          <w:rFonts w:eastAsia="Calibri"/>
          <w:kern w:val="0"/>
          <w:lang w:eastAsia="en-US"/>
        </w:rPr>
        <w:t>Rektora Politechniki Łódzkiej z dnia 16 września 2019 r. wprowadza się następujące zmiany:</w:t>
      </w:r>
    </w:p>
    <w:p w14:paraId="230856BB" w14:textId="6586125C" w:rsidR="00D079FB" w:rsidRPr="0076583E" w:rsidRDefault="00D079FB" w:rsidP="00D079FB">
      <w:pPr>
        <w:spacing w:before="120"/>
        <w:ind w:left="425"/>
        <w:jc w:val="both"/>
      </w:pPr>
      <w:r w:rsidRPr="0076583E">
        <w:t>1)</w:t>
      </w:r>
      <w:r w:rsidRPr="0076583E">
        <w:tab/>
        <w:t>§ 2 otrzymuje brzmienie:</w:t>
      </w:r>
    </w:p>
    <w:p w14:paraId="5AA5FF85" w14:textId="62FCC87F" w:rsidR="00D079FB" w:rsidRPr="0076583E" w:rsidRDefault="00D079FB" w:rsidP="00D079FB">
      <w:pPr>
        <w:spacing w:before="120"/>
        <w:jc w:val="center"/>
        <w:rPr>
          <w:rFonts w:eastAsia="Calibri"/>
          <w:kern w:val="0"/>
          <w:lang w:eastAsia="en-US"/>
        </w:rPr>
      </w:pPr>
      <w:r w:rsidRPr="0076583E">
        <w:rPr>
          <w:rFonts w:eastAsia="Calibri"/>
          <w:kern w:val="0"/>
          <w:lang w:eastAsia="en-US"/>
        </w:rPr>
        <w:t>„§ 2</w:t>
      </w:r>
    </w:p>
    <w:p w14:paraId="16A494FE" w14:textId="43964FE8" w:rsidR="003C5D3E" w:rsidRPr="0076583E" w:rsidRDefault="007372AD" w:rsidP="007372AD">
      <w:pPr>
        <w:spacing w:before="120"/>
        <w:ind w:left="1276" w:hanging="425"/>
        <w:jc w:val="both"/>
        <w:rPr>
          <w:rFonts w:eastAsia="Calibri"/>
          <w:kern w:val="0"/>
          <w:lang w:eastAsia="en-US"/>
        </w:rPr>
      </w:pPr>
      <w:r w:rsidRPr="0076583E">
        <w:rPr>
          <w:rFonts w:eastAsia="Calibri"/>
          <w:kern w:val="0"/>
          <w:lang w:eastAsia="en-US"/>
        </w:rPr>
        <w:t>1.</w:t>
      </w:r>
      <w:r w:rsidRPr="0076583E">
        <w:rPr>
          <w:rFonts w:eastAsia="Calibri"/>
          <w:kern w:val="0"/>
          <w:lang w:eastAsia="en-US"/>
        </w:rPr>
        <w:tab/>
        <w:t>Każdy pracownik zobowiązany jest do zapoznania się z treścią regulaminu pracy oraz jego zmianami, niezwłocznie po ich wprowadzeniu.</w:t>
      </w:r>
    </w:p>
    <w:p w14:paraId="0799789E" w14:textId="76767D6F" w:rsidR="007372AD" w:rsidRPr="0076583E" w:rsidRDefault="007372AD" w:rsidP="007372AD">
      <w:pPr>
        <w:spacing w:before="120"/>
        <w:ind w:left="1276" w:hanging="425"/>
        <w:jc w:val="both"/>
        <w:rPr>
          <w:rFonts w:eastAsia="Calibri"/>
          <w:kern w:val="0"/>
          <w:lang w:eastAsia="en-US"/>
        </w:rPr>
      </w:pPr>
      <w:r w:rsidRPr="0076583E">
        <w:rPr>
          <w:rFonts w:eastAsia="Calibri"/>
          <w:kern w:val="0"/>
          <w:lang w:eastAsia="en-US"/>
        </w:rPr>
        <w:t>2.</w:t>
      </w:r>
      <w:r w:rsidRPr="0076583E">
        <w:rPr>
          <w:rFonts w:eastAsia="Calibri"/>
          <w:kern w:val="0"/>
          <w:lang w:eastAsia="en-US"/>
        </w:rPr>
        <w:tab/>
      </w:r>
      <w:r w:rsidR="00136D94" w:rsidRPr="0076583E">
        <w:rPr>
          <w:rFonts w:eastAsia="Calibri"/>
          <w:kern w:val="0"/>
          <w:lang w:eastAsia="en-US"/>
        </w:rPr>
        <w:t>Centrum Zarządzania Kapitałem Ludzkim zapoznaje z regulaminem pracy każdego przyjmowanego do pracy pracownika przed dopuszczeniem go do pracy.</w:t>
      </w:r>
    </w:p>
    <w:p w14:paraId="3AB705E8" w14:textId="1B8C1628" w:rsidR="00136D94" w:rsidRPr="0076583E" w:rsidRDefault="00136D94" w:rsidP="007372AD">
      <w:pPr>
        <w:spacing w:before="120"/>
        <w:ind w:left="1276" w:hanging="425"/>
        <w:jc w:val="both"/>
        <w:rPr>
          <w:rFonts w:eastAsia="Calibri"/>
          <w:kern w:val="0"/>
          <w:lang w:eastAsia="en-US"/>
        </w:rPr>
      </w:pPr>
      <w:r w:rsidRPr="0076583E">
        <w:rPr>
          <w:rFonts w:eastAsia="Calibri"/>
          <w:kern w:val="0"/>
          <w:lang w:eastAsia="en-US"/>
        </w:rPr>
        <w:t>3.</w:t>
      </w:r>
      <w:r w:rsidRPr="0076583E">
        <w:rPr>
          <w:rFonts w:eastAsia="Calibri"/>
          <w:kern w:val="0"/>
          <w:lang w:eastAsia="en-US"/>
        </w:rPr>
        <w:tab/>
        <w:t>Zapoznanie się z treścią regulaminu pracy pracownik potwierdza w oświadczeniu swoim podpisem. Wzór oświadczenia określa załącznik nr 1</w:t>
      </w:r>
      <w:r w:rsidR="0057333B">
        <w:rPr>
          <w:rFonts w:eastAsia="Calibri"/>
          <w:kern w:val="0"/>
          <w:lang w:eastAsia="en-US"/>
        </w:rPr>
        <w:t>,</w:t>
      </w:r>
      <w:r w:rsidR="0076583E">
        <w:rPr>
          <w:rFonts w:eastAsia="Calibri"/>
          <w:kern w:val="0"/>
          <w:lang w:eastAsia="en-US"/>
        </w:rPr>
        <w:t xml:space="preserve"> który w formie papierowej pracownik przekazuje do Centrum Zarządzania Kapitałem Ludzkim – celem włączenia do akt osobowych pracownika.</w:t>
      </w:r>
    </w:p>
    <w:p w14:paraId="0BA4CF89" w14:textId="62BC4F22" w:rsidR="00136D94" w:rsidRPr="0076583E" w:rsidRDefault="00136D94" w:rsidP="007372AD">
      <w:pPr>
        <w:spacing w:before="120"/>
        <w:ind w:left="1276" w:hanging="425"/>
        <w:jc w:val="both"/>
        <w:rPr>
          <w:rFonts w:eastAsia="Calibri"/>
          <w:kern w:val="0"/>
          <w:lang w:eastAsia="en-US"/>
        </w:rPr>
      </w:pPr>
      <w:r w:rsidRPr="0076583E">
        <w:rPr>
          <w:rFonts w:eastAsia="Calibri"/>
          <w:kern w:val="0"/>
          <w:lang w:eastAsia="en-US"/>
        </w:rPr>
        <w:t>4.</w:t>
      </w:r>
      <w:r w:rsidRPr="0076583E">
        <w:rPr>
          <w:rFonts w:eastAsia="Calibri"/>
          <w:kern w:val="0"/>
          <w:lang w:eastAsia="en-US"/>
        </w:rPr>
        <w:tab/>
        <w:t>Nadzór nad przestrzeganiem regulaminu pracy powierza się osobom zajmującym w</w:t>
      </w:r>
      <w:r w:rsidR="00CA5719" w:rsidRPr="0076583E">
        <w:rPr>
          <w:rFonts w:eastAsia="Calibri"/>
          <w:kern w:val="0"/>
          <w:lang w:eastAsia="en-US"/>
        </w:rPr>
        <w:t> </w:t>
      </w:r>
      <w:r w:rsidRPr="0076583E">
        <w:rPr>
          <w:rFonts w:eastAsia="Calibri"/>
          <w:kern w:val="0"/>
          <w:lang w:eastAsia="en-US"/>
        </w:rPr>
        <w:t>Uczelni stanowiska kierownicze oraz Centrum Zarządzania Kapitałem Ludzkim.”;</w:t>
      </w:r>
    </w:p>
    <w:p w14:paraId="3A3829AC" w14:textId="0159BD78" w:rsidR="005E5682" w:rsidRPr="00C85400" w:rsidRDefault="00CA5719" w:rsidP="005E5682">
      <w:pPr>
        <w:spacing w:before="120"/>
        <w:ind w:left="425"/>
        <w:jc w:val="both"/>
      </w:pPr>
      <w:bookmarkStart w:id="0" w:name="_Hlk87861903"/>
      <w:r>
        <w:t>2</w:t>
      </w:r>
      <w:r w:rsidR="005E5682" w:rsidRPr="00C85400">
        <w:t>)</w:t>
      </w:r>
      <w:r w:rsidR="005E5682" w:rsidRPr="00C85400">
        <w:tab/>
        <w:t>w § 27 po ust. 1 dodaje się ust. 1a i ust</w:t>
      </w:r>
      <w:r w:rsidR="0076583E">
        <w:t>.</w:t>
      </w:r>
      <w:r w:rsidR="005E5682" w:rsidRPr="00C85400">
        <w:t xml:space="preserve"> 1b w brzmieniu</w:t>
      </w:r>
      <w:bookmarkEnd w:id="0"/>
      <w:r w:rsidR="005E5682" w:rsidRPr="00C85400">
        <w:t>:</w:t>
      </w:r>
    </w:p>
    <w:p w14:paraId="17A36E66" w14:textId="77777777" w:rsidR="005E5682" w:rsidRPr="00C85400" w:rsidRDefault="005E5682" w:rsidP="005E5682">
      <w:pPr>
        <w:spacing w:before="120"/>
        <w:ind w:left="1276" w:hanging="425"/>
        <w:jc w:val="both"/>
      </w:pPr>
      <w:r w:rsidRPr="00C85400">
        <w:t>„1a. Kierownik samodzielnej jednostki organizacyjnej za zgodą Rektora może powierzyć nauczycielowi akademickiemu prowadzenie zajęć dydaktycznych poza Uczelnią – na rzecz szkół lub innych podmiotów, z którymi Uczelnia zawarła umowę w przedmiotowym zakresie.</w:t>
      </w:r>
    </w:p>
    <w:p w14:paraId="73CEFA65" w14:textId="77777777" w:rsidR="005E5682" w:rsidRPr="00C85400" w:rsidRDefault="005E5682" w:rsidP="005E5682">
      <w:pPr>
        <w:spacing w:before="120"/>
        <w:ind w:left="1276" w:hanging="425"/>
        <w:jc w:val="both"/>
      </w:pPr>
      <w:r w:rsidRPr="00C85400">
        <w:t>1b. Wszystkie zajęcia powierzone przez kierownika samodzielnej jednostki organizacyjnej, niezależnie od miejsca ich realizacji, wlicza się jako godziny dydaktyczne realizowane w ramach macierzystej jednostki organizacyjnej nauczyciela akademickiego.”;</w:t>
      </w:r>
    </w:p>
    <w:p w14:paraId="6668EF7F" w14:textId="2112B68E" w:rsidR="005E5682" w:rsidRPr="00C85400" w:rsidRDefault="00CA5719" w:rsidP="005E5682">
      <w:pPr>
        <w:spacing w:before="120"/>
        <w:ind w:left="850" w:hanging="425"/>
        <w:jc w:val="both"/>
      </w:pPr>
      <w:r>
        <w:t>3</w:t>
      </w:r>
      <w:r w:rsidR="005E5682" w:rsidRPr="00C85400">
        <w:t>)</w:t>
      </w:r>
      <w:r w:rsidR="005E5682" w:rsidRPr="00C85400">
        <w:tab/>
        <w:t>§ 57 otrzymuje brzmienie:</w:t>
      </w:r>
    </w:p>
    <w:p w14:paraId="6B3F4888" w14:textId="134284A3" w:rsidR="003A2165" w:rsidRDefault="003A2165" w:rsidP="003A2165">
      <w:pPr>
        <w:spacing w:before="120"/>
        <w:jc w:val="center"/>
      </w:pPr>
      <w:r>
        <w:t>„</w:t>
      </w:r>
      <w:r w:rsidRPr="00C85400">
        <w:t>§ 57</w:t>
      </w:r>
    </w:p>
    <w:p w14:paraId="62B8D03F" w14:textId="299C7D7D" w:rsidR="005E5682" w:rsidRPr="00C85400" w:rsidRDefault="005E5682" w:rsidP="007C6C94">
      <w:pPr>
        <w:spacing w:before="60"/>
        <w:ind w:left="1276"/>
        <w:jc w:val="both"/>
      </w:pPr>
      <w:r w:rsidRPr="00C85400">
        <w:t>1. Do realizacji pensum i godzin ponadwymiarowych prowadzonych na wszystkich stopniach studiów, w tym w szkołach doktorskich i we wszystkich formach studiów zalicza się:</w:t>
      </w:r>
    </w:p>
    <w:p w14:paraId="6719FD6A" w14:textId="77777777" w:rsidR="005E5682" w:rsidRPr="00C85400" w:rsidRDefault="005E5682" w:rsidP="007C6C94">
      <w:pPr>
        <w:spacing w:before="60"/>
        <w:ind w:left="2126" w:hanging="425"/>
        <w:jc w:val="both"/>
      </w:pPr>
      <w:r w:rsidRPr="00C85400">
        <w:t>1)</w:t>
      </w:r>
      <w:r w:rsidRPr="00C85400">
        <w:tab/>
        <w:t xml:space="preserve">zajęcia na studiach stacjonarnych I </w:t>
      </w:r>
      <w:proofErr w:type="spellStart"/>
      <w:r w:rsidRPr="00C85400">
        <w:t>i</w:t>
      </w:r>
      <w:proofErr w:type="spellEnd"/>
      <w:r w:rsidRPr="00C85400">
        <w:t xml:space="preserve"> II stopnia oraz jednolitych studiach magisterskich;</w:t>
      </w:r>
    </w:p>
    <w:p w14:paraId="6B1BC75D" w14:textId="77777777" w:rsidR="005E5682" w:rsidRPr="00C85400" w:rsidRDefault="005E5682" w:rsidP="007C6C94">
      <w:pPr>
        <w:spacing w:before="60"/>
        <w:ind w:left="2126" w:hanging="425"/>
        <w:jc w:val="both"/>
      </w:pPr>
      <w:r w:rsidRPr="00C85400">
        <w:t>2)</w:t>
      </w:r>
      <w:r w:rsidRPr="00C85400">
        <w:tab/>
        <w:t>zajęcia w szkołach doktorskich;</w:t>
      </w:r>
    </w:p>
    <w:p w14:paraId="23BC1E4B" w14:textId="77777777" w:rsidR="005E5682" w:rsidRPr="00C85400" w:rsidRDefault="005E5682" w:rsidP="007C6C94">
      <w:pPr>
        <w:spacing w:before="60"/>
        <w:ind w:left="2126" w:hanging="425"/>
        <w:jc w:val="both"/>
      </w:pPr>
      <w:r w:rsidRPr="00C85400">
        <w:t>3)</w:t>
      </w:r>
      <w:r w:rsidRPr="00C85400">
        <w:tab/>
        <w:t>zajęcia na studiach niestacjonarnych;</w:t>
      </w:r>
    </w:p>
    <w:p w14:paraId="02E2DF1E" w14:textId="77777777" w:rsidR="005E5682" w:rsidRPr="00C85400" w:rsidRDefault="005E5682" w:rsidP="007C6C94">
      <w:pPr>
        <w:spacing w:before="60"/>
        <w:ind w:left="2126" w:hanging="425"/>
        <w:jc w:val="both"/>
      </w:pPr>
      <w:r w:rsidRPr="00C85400">
        <w:lastRenderedPageBreak/>
        <w:t>4)</w:t>
      </w:r>
      <w:r w:rsidRPr="00C85400">
        <w:tab/>
        <w:t>zajęcia prowadzone na rzecz szkół lub innych podmiotów, o których mowa w § 27 ust. 1a;</w:t>
      </w:r>
    </w:p>
    <w:p w14:paraId="54963A65" w14:textId="77777777" w:rsidR="005E5682" w:rsidRPr="00C85400" w:rsidRDefault="005E5682" w:rsidP="007C6C94">
      <w:pPr>
        <w:spacing w:before="60"/>
        <w:ind w:left="2126" w:hanging="425"/>
        <w:jc w:val="both"/>
      </w:pPr>
      <w:r w:rsidRPr="00C85400">
        <w:t>5)</w:t>
      </w:r>
      <w:r w:rsidRPr="00C85400">
        <w:tab/>
        <w:t>zajęcia na studiach podyplomowych – na wniosek nauczyciela akademickiego, jako forma uzupełnienia niewykonanego pensum, do czasu jego uzupełnienia.</w:t>
      </w:r>
    </w:p>
    <w:p w14:paraId="224B0CE3" w14:textId="0050E106" w:rsidR="005E5682" w:rsidRPr="00C85400" w:rsidRDefault="005E5682" w:rsidP="007C6C94">
      <w:pPr>
        <w:spacing w:before="60"/>
        <w:ind w:left="1503" w:hanging="227"/>
        <w:jc w:val="both"/>
      </w:pPr>
      <w:r w:rsidRPr="00C85400">
        <w:t>2. Zajęcia, o których mowa w pkt 1-2 powinny stanowić co najmniej 50% pensum dydaktycznego.”;</w:t>
      </w:r>
    </w:p>
    <w:p w14:paraId="343A22ED" w14:textId="15FCF25D" w:rsidR="005E5682" w:rsidRDefault="00CA5719" w:rsidP="00146439">
      <w:pPr>
        <w:spacing w:before="80"/>
        <w:ind w:left="850" w:hanging="425"/>
        <w:jc w:val="both"/>
        <w:rPr>
          <w:bCs/>
        </w:rPr>
      </w:pPr>
      <w:r>
        <w:t>4</w:t>
      </w:r>
      <w:r w:rsidR="005E5682">
        <w:t>)</w:t>
      </w:r>
      <w:r w:rsidR="005E5682">
        <w:tab/>
        <w:t>w § 58 uchyla się ust. 8 i 9</w:t>
      </w:r>
      <w:r w:rsidR="005E5682">
        <w:rPr>
          <w:bCs/>
        </w:rPr>
        <w:t>;</w:t>
      </w:r>
    </w:p>
    <w:p w14:paraId="355ABC5C" w14:textId="1FA5378A" w:rsidR="005E5682" w:rsidRDefault="00CA5719" w:rsidP="00146439">
      <w:pPr>
        <w:spacing w:before="80"/>
        <w:ind w:left="850" w:hanging="425"/>
      </w:pPr>
      <w:r>
        <w:t>5</w:t>
      </w:r>
      <w:r w:rsidR="005E5682">
        <w:t>)</w:t>
      </w:r>
      <w:r w:rsidR="005E5682">
        <w:tab/>
      </w:r>
      <w:bookmarkStart w:id="1" w:name="_Hlk87268339"/>
      <w:r w:rsidR="005E5682">
        <w:t>w § 69</w:t>
      </w:r>
      <w:bookmarkEnd w:id="1"/>
      <w:r w:rsidR="0076583E">
        <w:t>:</w:t>
      </w:r>
    </w:p>
    <w:p w14:paraId="74F8DC3A" w14:textId="77777777" w:rsidR="005E5682" w:rsidRPr="00C85400" w:rsidRDefault="005E5682" w:rsidP="00146439">
      <w:pPr>
        <w:spacing w:before="80"/>
        <w:ind w:left="1276" w:hanging="425"/>
      </w:pPr>
      <w:r w:rsidRPr="00C85400">
        <w:t>a)</w:t>
      </w:r>
      <w:r w:rsidRPr="00C85400">
        <w:tab/>
        <w:t>ust. 6 otrzymuje brzmienie:</w:t>
      </w:r>
    </w:p>
    <w:p w14:paraId="0A258FDD" w14:textId="77777777" w:rsidR="005E5682" w:rsidRPr="00C85400" w:rsidRDefault="005E5682" w:rsidP="00146439">
      <w:pPr>
        <w:spacing w:before="80"/>
        <w:ind w:left="1701" w:hanging="425"/>
        <w:jc w:val="both"/>
      </w:pPr>
      <w:r w:rsidRPr="00C85400">
        <w:t>„6. Pracownicy Akademickiego Centrum Sportowo-Dydaktycznego „Zatoka Sportu” mogą być zatrudnieni  w równoważnym systemie czasu pracy, z możliwością stosowania ruchomego czasu pracy, w przyjętym okresie rozliczeniowym</w:t>
      </w:r>
      <w:r>
        <w:rPr>
          <w:color w:val="0070C0"/>
        </w:rPr>
        <w:t xml:space="preserve"> </w:t>
      </w:r>
      <w:r w:rsidRPr="00C85400">
        <w:t xml:space="preserve">wynoszącym 3 miesiące. Czas pracy może zostać przedłużony do 12 godzin na dobę, przeciętnie 40 godzin na tydzień, według harmonogramu pracy ustalonego przez ich bezpośredniego przełożonego. </w:t>
      </w:r>
    </w:p>
    <w:p w14:paraId="5E0CCF40" w14:textId="77777777" w:rsidR="005E5682" w:rsidRPr="00C85400" w:rsidRDefault="005E5682" w:rsidP="00146439">
      <w:pPr>
        <w:spacing w:before="80"/>
        <w:ind w:left="2126" w:hanging="425"/>
      </w:pPr>
      <w:r w:rsidRPr="00C85400">
        <w:t>W systemie, o którym mowa powyżej, dopuszcza się pracę zmianową:</w:t>
      </w:r>
    </w:p>
    <w:p w14:paraId="2C77AC68" w14:textId="77777777" w:rsidR="005E5682" w:rsidRPr="00C85400" w:rsidRDefault="005E5682" w:rsidP="00146439">
      <w:pPr>
        <w:spacing w:before="80"/>
        <w:ind w:left="2126" w:hanging="425"/>
      </w:pPr>
      <w:r w:rsidRPr="00C85400">
        <w:t>-</w:t>
      </w:r>
      <w:r w:rsidRPr="00C85400">
        <w:tab/>
        <w:t>pracownicy obsługi technicznej zatrudnieni na stanowisku robotnik wykwalifikowany:</w:t>
      </w:r>
    </w:p>
    <w:p w14:paraId="061DE9AD" w14:textId="77777777" w:rsidR="005E5682" w:rsidRPr="00C85400" w:rsidRDefault="005E5682" w:rsidP="00146439">
      <w:pPr>
        <w:spacing w:before="80"/>
        <w:ind w:left="2126" w:hanging="425"/>
      </w:pPr>
      <w:r w:rsidRPr="00C85400">
        <w:t>1)</w:t>
      </w:r>
      <w:r w:rsidRPr="00C85400">
        <w:tab/>
        <w:t>I zmiana w godz. 6:00 – 14:00,</w:t>
      </w:r>
    </w:p>
    <w:p w14:paraId="449A47CC" w14:textId="77777777" w:rsidR="005E5682" w:rsidRPr="00C85400" w:rsidRDefault="005E5682" w:rsidP="00146439">
      <w:pPr>
        <w:spacing w:before="80"/>
        <w:ind w:left="2126" w:hanging="425"/>
      </w:pPr>
      <w:r w:rsidRPr="00C85400">
        <w:t>2)</w:t>
      </w:r>
      <w:r w:rsidRPr="00C85400">
        <w:tab/>
        <w:t>II zmiana w godz. 14:00 – 22:00,</w:t>
      </w:r>
    </w:p>
    <w:p w14:paraId="6DC12E8E" w14:textId="00008C2C" w:rsidR="005E5682" w:rsidRPr="00C85400" w:rsidRDefault="005E5682" w:rsidP="00146439">
      <w:pPr>
        <w:spacing w:before="80"/>
        <w:ind w:left="2126" w:hanging="425"/>
      </w:pPr>
      <w:r w:rsidRPr="00C85400">
        <w:t>3)</w:t>
      </w:r>
      <w:r w:rsidRPr="00C85400">
        <w:tab/>
        <w:t>III zmiana w godz. 22:00 – 6:00</w:t>
      </w:r>
    </w:p>
    <w:p w14:paraId="2723E86F" w14:textId="77777777" w:rsidR="005E5682" w:rsidRPr="00C85400" w:rsidRDefault="005E5682" w:rsidP="00146439">
      <w:pPr>
        <w:spacing w:before="80"/>
        <w:ind w:left="2126" w:hanging="425"/>
      </w:pPr>
      <w:r w:rsidRPr="00C85400">
        <w:t>lub</w:t>
      </w:r>
    </w:p>
    <w:p w14:paraId="2798C510" w14:textId="77777777" w:rsidR="005E5682" w:rsidRPr="00C85400" w:rsidRDefault="005E5682" w:rsidP="00146439">
      <w:pPr>
        <w:spacing w:before="80"/>
        <w:ind w:left="2126" w:hanging="425"/>
      </w:pPr>
      <w:r w:rsidRPr="00C85400">
        <w:t>1)</w:t>
      </w:r>
      <w:r w:rsidRPr="00C85400">
        <w:tab/>
        <w:t>I zmiana w godz. 6:00 – 18:00,</w:t>
      </w:r>
    </w:p>
    <w:p w14:paraId="2ACCCF61" w14:textId="605D166A" w:rsidR="005E5682" w:rsidRPr="00C85400" w:rsidRDefault="005E5682" w:rsidP="00146439">
      <w:pPr>
        <w:spacing w:before="80"/>
        <w:ind w:left="2126" w:hanging="425"/>
      </w:pPr>
      <w:r w:rsidRPr="00C85400">
        <w:t>2)</w:t>
      </w:r>
      <w:r w:rsidRPr="00C85400">
        <w:tab/>
        <w:t>II zmiana w godz. 18:00 – 6:00</w:t>
      </w:r>
      <w:r w:rsidR="00353249">
        <w:t>,</w:t>
      </w:r>
    </w:p>
    <w:p w14:paraId="0E3C8A8B" w14:textId="77777777" w:rsidR="005E5682" w:rsidRPr="00C85400" w:rsidRDefault="005E5682" w:rsidP="00146439">
      <w:pPr>
        <w:spacing w:before="80"/>
        <w:ind w:left="2126" w:hanging="425"/>
      </w:pPr>
      <w:r w:rsidRPr="00C85400">
        <w:t>-</w:t>
      </w:r>
      <w:r w:rsidRPr="00C85400">
        <w:tab/>
        <w:t xml:space="preserve">pracownicy zatrudnieni przy obsłudze kas oraz na stanowisku ds. koordynacji wydarzeń: </w:t>
      </w:r>
    </w:p>
    <w:p w14:paraId="439BA2DB" w14:textId="77777777" w:rsidR="005E5682" w:rsidRPr="00C85400" w:rsidRDefault="005E5682" w:rsidP="00146439">
      <w:pPr>
        <w:spacing w:before="80"/>
        <w:ind w:left="2126" w:hanging="425"/>
      </w:pPr>
      <w:r w:rsidRPr="00C85400">
        <w:t>1)</w:t>
      </w:r>
      <w:r w:rsidRPr="00C85400">
        <w:tab/>
        <w:t>I zmiana w godz. 6:00 – 14:00,</w:t>
      </w:r>
    </w:p>
    <w:p w14:paraId="44C3736A" w14:textId="77777777" w:rsidR="005E5682" w:rsidRPr="00C85400" w:rsidRDefault="005E5682" w:rsidP="00146439">
      <w:pPr>
        <w:spacing w:before="80"/>
        <w:ind w:left="2126" w:hanging="425"/>
      </w:pPr>
      <w:r w:rsidRPr="00C85400">
        <w:t>2)</w:t>
      </w:r>
      <w:r w:rsidRPr="00C85400">
        <w:tab/>
        <w:t>II zmiana w godz. 14:00 – 22:00.</w:t>
      </w:r>
    </w:p>
    <w:p w14:paraId="192F8AC4" w14:textId="77777777" w:rsidR="005E5682" w:rsidRPr="00C85400" w:rsidRDefault="005E5682" w:rsidP="00146439">
      <w:pPr>
        <w:spacing w:before="80"/>
        <w:ind w:left="1701"/>
        <w:jc w:val="both"/>
      </w:pPr>
      <w:r w:rsidRPr="00C85400">
        <w:t>Stosowanie ruchomego czasu pracy nie może naruszać w szczególności przepisów o odpoczynku dobowym i tygodniowym. Decyzje w zakresie stosowania rozkładu czasu pracy podejmuje kierownik jednostki organizacyjnej”,</w:t>
      </w:r>
    </w:p>
    <w:p w14:paraId="4FEB5233" w14:textId="77777777" w:rsidR="005E5682" w:rsidRDefault="005E5682" w:rsidP="00146439">
      <w:pPr>
        <w:spacing w:before="80"/>
        <w:ind w:left="1276" w:hanging="425"/>
      </w:pPr>
      <w:r>
        <w:t>b)</w:t>
      </w:r>
      <w:r>
        <w:tab/>
        <w:t>ust. 13 otrzymuje brzmienie:</w:t>
      </w:r>
    </w:p>
    <w:p w14:paraId="11BD55EE" w14:textId="1F49A21F" w:rsidR="005E5682" w:rsidRDefault="005E5682" w:rsidP="005E5682">
      <w:pPr>
        <w:spacing w:before="120"/>
        <w:ind w:left="1701" w:hanging="425"/>
        <w:jc w:val="both"/>
      </w:pPr>
      <w:r>
        <w:rPr>
          <w:color w:val="000000"/>
        </w:rPr>
        <w:t>„13. </w:t>
      </w:r>
      <w:bookmarkStart w:id="2" w:name="_Hlk90362576"/>
      <w:r>
        <w:rPr>
          <w:color w:val="000000"/>
        </w:rPr>
        <w:t>Liczba godzin nadliczbowych w roku kalendarzowym pracowników technicznych Działu Eksploatacji Budynków i Budowli usuwających awarie i zatrudnionych przy obsłudze systemów parkingowych, pracowników Akademickiego Centrum Sportowo-Dydaktycznego „Zatoka Sportu” zatrudnionych przy obsłudze technicznej obiektu oraz przy obsłudze kas i</w:t>
      </w:r>
      <w:r w:rsidR="00D41903">
        <w:rPr>
          <w:color w:val="000000"/>
        </w:rPr>
        <w:t xml:space="preserve"> </w:t>
      </w:r>
      <w:r>
        <w:rPr>
          <w:color w:val="000000"/>
        </w:rPr>
        <w:t>szatni oraz pracowników Uczelnianego Centrum Informatycznego zatrudnionych przy eksploatacji usług informatycznych oraz innych pracowników obsługi technicznej nie może przekroczyć 350</w:t>
      </w:r>
      <w:bookmarkEnd w:id="2"/>
      <w:r>
        <w:rPr>
          <w:color w:val="000000"/>
        </w:rPr>
        <w:t>.”;</w:t>
      </w:r>
    </w:p>
    <w:p w14:paraId="2796586A" w14:textId="68C84630" w:rsidR="005E5682" w:rsidRDefault="00CA5719" w:rsidP="005E5682">
      <w:pPr>
        <w:pStyle w:val="Akapitzlist"/>
        <w:spacing w:before="120"/>
        <w:ind w:left="850" w:hanging="425"/>
        <w:jc w:val="both"/>
      </w:pPr>
      <w:r>
        <w:t>6</w:t>
      </w:r>
      <w:r w:rsidR="005E5682">
        <w:t>)</w:t>
      </w:r>
      <w:r w:rsidR="005E5682">
        <w:tab/>
        <w:t>w § 76</w:t>
      </w:r>
      <w:r w:rsidR="0076583E">
        <w:t>:</w:t>
      </w:r>
    </w:p>
    <w:p w14:paraId="4DCAA2E3" w14:textId="77777777" w:rsidR="005E5682" w:rsidRDefault="005E5682" w:rsidP="005E5682">
      <w:pPr>
        <w:pStyle w:val="Akapitzlist"/>
        <w:spacing w:before="120"/>
        <w:ind w:left="1276" w:hanging="425"/>
        <w:jc w:val="both"/>
      </w:pPr>
      <w:r>
        <w:t>a)</w:t>
      </w:r>
      <w:r>
        <w:tab/>
        <w:t>ust. 2 otrzymuje brzmienie:</w:t>
      </w:r>
    </w:p>
    <w:p w14:paraId="71D7CA22" w14:textId="334B6DFB" w:rsidR="005E5682" w:rsidRPr="00C85400" w:rsidRDefault="005E5682" w:rsidP="007C6C94">
      <w:pPr>
        <w:pStyle w:val="Akapitzlist"/>
        <w:spacing w:before="80"/>
        <w:ind w:left="1701" w:hanging="425"/>
        <w:jc w:val="both"/>
        <w:rPr>
          <w:rStyle w:val="normaltextrun"/>
        </w:rPr>
      </w:pPr>
      <w:r>
        <w:rPr>
          <w:rStyle w:val="contextualspellingandgrammarerror"/>
          <w:color w:val="000000"/>
        </w:rPr>
        <w:t xml:space="preserve">„2. W </w:t>
      </w:r>
      <w:r>
        <w:rPr>
          <w:rStyle w:val="normaltextrun"/>
          <w:color w:val="000000"/>
        </w:rPr>
        <w:t xml:space="preserve">przypadku nauczycieli akademickich wynagrodzenie zasadnicze, dodatek za staż pracy, dodatek zadaniowy, dodatek funkcyjny, dodatek projektowy, dodatek uzupełniający określony stawką miesięczną oraz dodatek organizacyjny płatne są z góry, pierwszego roboczego dnia miesiąca, którego wypłata dotyczy. Pozostałe składniki wynagrodzenia wypłacane są nauczycielom akademickim z dołu w terminie do dnia 10-go następnego miesiąca, z zastrzeżeniem, że wynagrodzenie </w:t>
      </w:r>
      <w:r>
        <w:rPr>
          <w:rStyle w:val="normaltextrun"/>
          <w:color w:val="000000"/>
        </w:rPr>
        <w:lastRenderedPageBreak/>
        <w:t xml:space="preserve">nauczycieli </w:t>
      </w:r>
      <w:r w:rsidRPr="00C85400">
        <w:rPr>
          <w:rStyle w:val="normaltextrun"/>
        </w:rPr>
        <w:t>akademickich określone stawką godzinową finansowane z</w:t>
      </w:r>
      <w:r w:rsidR="00D41903">
        <w:rPr>
          <w:rStyle w:val="normaltextrun"/>
        </w:rPr>
        <w:t> </w:t>
      </w:r>
      <w:r w:rsidRPr="00C85400">
        <w:rPr>
          <w:rStyle w:val="normaltextrun"/>
        </w:rPr>
        <w:t>grantów/projektów i innych źródeł zewnętrznych, wypłacane jest do 10-go dnia następnego miesiąca po przedstawieniu polecenia wypłaty.”,</w:t>
      </w:r>
    </w:p>
    <w:p w14:paraId="7E727B3A" w14:textId="77777777" w:rsidR="005E5682" w:rsidRPr="00C85400" w:rsidRDefault="005E5682" w:rsidP="007C6C94">
      <w:pPr>
        <w:spacing w:before="80"/>
        <w:ind w:left="1276" w:hanging="425"/>
        <w:jc w:val="both"/>
      </w:pPr>
      <w:r w:rsidRPr="00C85400">
        <w:t>b)</w:t>
      </w:r>
      <w:r w:rsidRPr="00C85400">
        <w:tab/>
        <w:t>ust. 3 otrzymuje brzmienie:</w:t>
      </w:r>
    </w:p>
    <w:p w14:paraId="08EE4A19" w14:textId="77777777" w:rsidR="005E5682" w:rsidRPr="00C85400" w:rsidRDefault="005E5682" w:rsidP="007C6C94">
      <w:pPr>
        <w:spacing w:before="80"/>
        <w:ind w:left="1701" w:hanging="425"/>
        <w:jc w:val="both"/>
      </w:pPr>
      <w:r w:rsidRPr="00C85400">
        <w:t>„3. Pracownicy niebędący nauczycielami akademickimi otrzymują wynagrodzenie za pracę płatne miesięcznie z dołu. Wypłata następuje w terminie do ostatniego dnia danego miesiąca. Jeżeli dzień wypłaty jest dniem wolnym od pracy, wynagrodzenie wypłaca się w dniu poprzedzającym. Wynagrodzenie określone stawką godzinową finansowane z grantów/projektów i innych źródeł zewnętrznych wypłacane jest do 10-go dnia następnego miesiąca po przedstawieniu polecenia wypłaty.”;</w:t>
      </w:r>
    </w:p>
    <w:p w14:paraId="389D5575" w14:textId="7440FA1F" w:rsidR="005E5682" w:rsidRPr="00C85400" w:rsidRDefault="00CA5719" w:rsidP="007C6C94">
      <w:pPr>
        <w:spacing w:before="80"/>
        <w:ind w:left="850" w:hanging="425"/>
        <w:jc w:val="both"/>
      </w:pPr>
      <w:r>
        <w:t>7</w:t>
      </w:r>
      <w:r w:rsidR="005E5682" w:rsidRPr="00C85400">
        <w:t>)</w:t>
      </w:r>
      <w:r w:rsidR="005E5682" w:rsidRPr="00C85400">
        <w:tab/>
      </w:r>
      <w:r w:rsidR="0076583E">
        <w:t>w</w:t>
      </w:r>
      <w:r w:rsidR="005E5682" w:rsidRPr="00C85400">
        <w:t xml:space="preserve"> załączniku nr 5 do Regulaminu pracy w Politechnice Łódzkiej z dnia 16 września 2019 r. w tabeli </w:t>
      </w:r>
      <w:r w:rsidR="005E5682" w:rsidRPr="00C85400">
        <w:rPr>
          <w:i/>
          <w:iCs/>
        </w:rPr>
        <w:t>Wykaz jednostek organizacyjnych i stanowisk pracy oraz obowiązujących w nich</w:t>
      </w:r>
      <w:r w:rsidR="005E5682">
        <w:rPr>
          <w:i/>
          <w:iCs/>
          <w:color w:val="0070C0"/>
        </w:rPr>
        <w:t xml:space="preserve"> </w:t>
      </w:r>
      <w:r w:rsidR="005E5682" w:rsidRPr="00C85400">
        <w:rPr>
          <w:i/>
          <w:iCs/>
        </w:rPr>
        <w:t xml:space="preserve">systemów i rozkładów czasu pracy </w:t>
      </w:r>
      <w:r w:rsidR="005E5682" w:rsidRPr="00013B47">
        <w:rPr>
          <w:i/>
          <w:iCs/>
        </w:rPr>
        <w:t>na dzień wejścia w życie regulaminu</w:t>
      </w:r>
      <w:r w:rsidR="005E5682" w:rsidRPr="00C85400">
        <w:rPr>
          <w:i/>
          <w:iCs/>
        </w:rPr>
        <w:t xml:space="preserve"> </w:t>
      </w:r>
      <w:r w:rsidR="005E5682" w:rsidRPr="00C85400">
        <w:t>wiersze 9</w:t>
      </w:r>
      <w:r w:rsidR="00191771">
        <w:t>2</w:t>
      </w:r>
      <w:r w:rsidR="005E5682" w:rsidRPr="00C85400">
        <w:t>-9</w:t>
      </w:r>
      <w:r w:rsidR="004F273D">
        <w:t>5</w:t>
      </w:r>
      <w:r w:rsidR="005E5682" w:rsidRPr="00C85400">
        <w:rPr>
          <w:i/>
          <w:iCs/>
        </w:rPr>
        <w:t xml:space="preserve"> </w:t>
      </w:r>
      <w:r w:rsidR="005E5682" w:rsidRPr="00C85400">
        <w:t>otrzymują brzmienie:</w:t>
      </w:r>
    </w:p>
    <w:p w14:paraId="06E44213" w14:textId="77777777" w:rsidR="005E5682" w:rsidRPr="007C6C94" w:rsidRDefault="005E5682" w:rsidP="005E5682">
      <w:pPr>
        <w:spacing w:before="120"/>
        <w:ind w:left="850" w:hanging="425"/>
        <w:jc w:val="both"/>
        <w:rPr>
          <w:sz w:val="20"/>
          <w:szCs w:val="20"/>
        </w:rPr>
      </w:pPr>
    </w:p>
    <w:tbl>
      <w:tblPr>
        <w:tblW w:w="939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957"/>
        <w:gridCol w:w="2837"/>
        <w:gridCol w:w="2014"/>
      </w:tblGrid>
      <w:tr w:rsidR="00C85400" w:rsidRPr="00C85400" w14:paraId="2F287C11" w14:textId="77777777" w:rsidTr="00EF2579">
        <w:trPr>
          <w:trHeight w:val="788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7AD6" w14:textId="77777777" w:rsidR="005E5682" w:rsidRPr="00C85400" w:rsidRDefault="005E5682" w:rsidP="002535CB">
            <w:pPr>
              <w:suppressAutoHyphens/>
              <w:autoSpaceDN w:val="0"/>
              <w:spacing w:before="60"/>
              <w:textAlignment w:val="baseline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b/>
                <w:sz w:val="16"/>
                <w:szCs w:val="16"/>
              </w:rPr>
              <w:t>Grupa pracowników Akademickiego Centrum Sportowo-Dydaktycznego „Zatoka Sportu”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5CD3" w14:textId="77777777" w:rsidR="005E5682" w:rsidRPr="00C85400" w:rsidRDefault="005E5682" w:rsidP="002535CB">
            <w:pPr>
              <w:suppressAutoHyphens/>
              <w:autoSpaceDN w:val="0"/>
              <w:spacing w:before="60" w:afterLines="60" w:after="144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podstawowy lub równoważny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F8DF" w14:textId="77777777" w:rsidR="005E5682" w:rsidRPr="00C85400" w:rsidRDefault="005E5682" w:rsidP="002535CB">
            <w:pPr>
              <w:suppressAutoHyphens/>
              <w:autoSpaceDN w:val="0"/>
              <w:spacing w:before="60" w:afterLines="60" w:after="144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7:30 – 15:30</w:t>
            </w:r>
          </w:p>
        </w:tc>
        <w:tc>
          <w:tcPr>
            <w:tcW w:w="20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96444" w14:textId="77777777" w:rsidR="005E5682" w:rsidRPr="00C85400" w:rsidRDefault="005E5682" w:rsidP="002535CB">
            <w:pPr>
              <w:suppressAutoHyphens/>
              <w:autoSpaceDN w:val="0"/>
              <w:spacing w:before="60" w:afterLines="60" w:after="14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Możliwość stosowania ruchomego czasu pracy w systemie równoważnego czasu pracy</w:t>
            </w:r>
          </w:p>
        </w:tc>
      </w:tr>
      <w:tr w:rsidR="00C85400" w:rsidRPr="00C85400" w14:paraId="4F68074E" w14:textId="77777777" w:rsidTr="00EF2579">
        <w:trPr>
          <w:trHeight w:val="1953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594A" w14:textId="77777777" w:rsidR="005E5682" w:rsidRPr="00C85400" w:rsidRDefault="005E5682" w:rsidP="002535CB">
            <w:pPr>
              <w:suppressAutoHyphens/>
              <w:autoSpaceDN w:val="0"/>
              <w:spacing w:before="60" w:afterLines="60" w:after="14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Pracownicy obsługi technicznej zatrudnieni na stanowisku robotnik wykwalifikowany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3FCE" w14:textId="77777777" w:rsidR="005E5682" w:rsidRPr="00C85400" w:rsidRDefault="005E5682" w:rsidP="002535CB">
            <w:pPr>
              <w:suppressAutoHyphens/>
              <w:autoSpaceDN w:val="0"/>
              <w:spacing w:before="60" w:afterLines="60" w:after="144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8619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I zmiana 6:00 – 14:00</w:t>
            </w:r>
          </w:p>
          <w:p w14:paraId="340B32C4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II zmiana 14:00 – 22:00</w:t>
            </w:r>
          </w:p>
          <w:p w14:paraId="2CA76032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III zmiana 22:00 – 6:00</w:t>
            </w:r>
          </w:p>
          <w:p w14:paraId="2C223395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21B7AB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238FDB1D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D59FA8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I zmiana 6:00 – 18:00</w:t>
            </w:r>
          </w:p>
          <w:p w14:paraId="7E5ACBBD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II zmiana 18:00 – 6:00</w:t>
            </w:r>
          </w:p>
        </w:tc>
        <w:tc>
          <w:tcPr>
            <w:tcW w:w="2013" w:type="dxa"/>
            <w:vMerge/>
            <w:vAlign w:val="center"/>
            <w:hideMark/>
          </w:tcPr>
          <w:p w14:paraId="7C471E72" w14:textId="77777777" w:rsidR="005E5682" w:rsidRPr="00C85400" w:rsidRDefault="005E5682" w:rsidP="002535C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E5682" w:rsidRPr="00C85400" w14:paraId="41D2BF91" w14:textId="77777777" w:rsidTr="00EF2579">
        <w:trPr>
          <w:trHeight w:val="628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19F8" w14:textId="77777777" w:rsidR="005E5682" w:rsidRPr="00C85400" w:rsidRDefault="005E5682" w:rsidP="002535CB">
            <w:pPr>
              <w:suppressAutoHyphens/>
              <w:autoSpaceDN w:val="0"/>
              <w:spacing w:before="60" w:afterLines="60" w:after="14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Pracownicy zatrudnieni przy obsłudze kas oraz na stanowisku ds. koordynacji wydarzeń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28BD" w14:textId="77777777" w:rsidR="005E5682" w:rsidRPr="00C85400" w:rsidRDefault="005E5682" w:rsidP="002535CB">
            <w:pPr>
              <w:suppressAutoHyphens/>
              <w:autoSpaceDN w:val="0"/>
              <w:spacing w:before="60" w:afterLines="60" w:after="144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DF35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I zmiana 6:00 – 14:00</w:t>
            </w:r>
          </w:p>
          <w:p w14:paraId="6A84DA87" w14:textId="77777777" w:rsidR="005E5682" w:rsidRPr="00C85400" w:rsidRDefault="005E5682" w:rsidP="002535CB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C85400">
              <w:rPr>
                <w:rFonts w:ascii="Arial" w:eastAsia="Calibri" w:hAnsi="Arial" w:cs="Arial"/>
                <w:sz w:val="16"/>
                <w:szCs w:val="16"/>
              </w:rPr>
              <w:t>II zmiana 14:00 – 22:00</w:t>
            </w:r>
          </w:p>
        </w:tc>
        <w:tc>
          <w:tcPr>
            <w:tcW w:w="2013" w:type="dxa"/>
            <w:vMerge/>
            <w:vAlign w:val="center"/>
            <w:hideMark/>
          </w:tcPr>
          <w:p w14:paraId="05C06AED" w14:textId="77777777" w:rsidR="005E5682" w:rsidRPr="00C85400" w:rsidRDefault="005E5682" w:rsidP="002535C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0F7DF8B" w14:textId="77777777" w:rsidR="005E5682" w:rsidRDefault="005E5682" w:rsidP="005E5682">
      <w:pPr>
        <w:spacing w:before="120"/>
        <w:jc w:val="center"/>
        <w:rPr>
          <w:rFonts w:eastAsia="Calibri"/>
          <w:bCs/>
          <w:color w:val="000000"/>
          <w:kern w:val="0"/>
          <w:lang w:eastAsia="en-US"/>
        </w:rPr>
      </w:pPr>
      <w:r>
        <w:rPr>
          <w:rFonts w:eastAsia="Calibri"/>
          <w:bCs/>
          <w:color w:val="000000"/>
          <w:kern w:val="0"/>
          <w:lang w:eastAsia="en-US"/>
        </w:rPr>
        <w:t>§ 2</w:t>
      </w:r>
    </w:p>
    <w:p w14:paraId="2047C3B2" w14:textId="77777777" w:rsidR="005E5682" w:rsidRDefault="005E5682" w:rsidP="005E5682">
      <w:pPr>
        <w:spacing w:before="120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Pozostałe postanowienia Zarządzenia nie ulegają zmianie.</w:t>
      </w:r>
    </w:p>
    <w:p w14:paraId="7C2B423A" w14:textId="77777777" w:rsidR="005E5682" w:rsidRDefault="005E5682" w:rsidP="005E5682">
      <w:pPr>
        <w:spacing w:before="120"/>
        <w:jc w:val="center"/>
        <w:rPr>
          <w:rFonts w:eastAsia="Calibri"/>
          <w:bCs/>
          <w:color w:val="000000"/>
          <w:kern w:val="0"/>
          <w:lang w:eastAsia="en-US"/>
        </w:rPr>
      </w:pPr>
      <w:r>
        <w:rPr>
          <w:rFonts w:eastAsia="Calibri"/>
          <w:bCs/>
          <w:color w:val="000000"/>
          <w:kern w:val="0"/>
          <w:lang w:eastAsia="en-US"/>
        </w:rPr>
        <w:t>§ 3</w:t>
      </w:r>
    </w:p>
    <w:p w14:paraId="22989E9D" w14:textId="19C86F43" w:rsidR="005E5682" w:rsidRPr="00C85400" w:rsidRDefault="005E5682" w:rsidP="005E5682">
      <w:pPr>
        <w:spacing w:before="120"/>
        <w:ind w:left="425" w:hanging="425"/>
        <w:jc w:val="both"/>
        <w:rPr>
          <w:rFonts w:ascii="Arial" w:hAnsi="Arial" w:cs="Arial"/>
        </w:rPr>
      </w:pPr>
      <w:r w:rsidRPr="00C85400">
        <w:rPr>
          <w:rFonts w:eastAsia="Calibri"/>
          <w:kern w:val="0"/>
          <w:lang w:eastAsia="en-US"/>
        </w:rPr>
        <w:t>1.</w:t>
      </w:r>
      <w:r w:rsidRPr="00C85400">
        <w:rPr>
          <w:rFonts w:eastAsia="Calibri"/>
          <w:kern w:val="0"/>
          <w:lang w:eastAsia="en-US"/>
        </w:rPr>
        <w:tab/>
        <w:t>Zmiany do Regulaminu pracy w Politechnice Łódzkiej wprowadzone niniejszym Zarządzeniem wchodzą w życie z dniem 1 stycznia 2022 r. tj. po upływie dwóch tygodni od podania do wiadomości pracowników, poprzez ogłoszenie na Portalu Informacyjnym WIKAMP, z zastrzeżeniem zmian o których mowa w </w:t>
      </w:r>
      <w:r w:rsidRPr="00C85400">
        <w:rPr>
          <w:rFonts w:eastAsia="Calibri"/>
          <w:bCs/>
          <w:kern w:val="0"/>
          <w:lang w:eastAsia="en-US"/>
        </w:rPr>
        <w:t xml:space="preserve">§ 1 </w:t>
      </w:r>
      <w:r w:rsidRPr="00C85400">
        <w:rPr>
          <w:rFonts w:eastAsia="Calibri"/>
          <w:kern w:val="0"/>
          <w:lang w:eastAsia="en-US"/>
        </w:rPr>
        <w:t>pkt 3, które wchodzą w życie z dniem 1 października 2022 r.</w:t>
      </w:r>
    </w:p>
    <w:p w14:paraId="5409A41B" w14:textId="77777777" w:rsidR="005E5682" w:rsidRPr="00C85400" w:rsidRDefault="005E5682" w:rsidP="005E5682">
      <w:pPr>
        <w:spacing w:before="120"/>
        <w:ind w:left="425" w:hanging="425"/>
        <w:jc w:val="both"/>
        <w:rPr>
          <w:kern w:val="0"/>
        </w:rPr>
      </w:pPr>
      <w:r w:rsidRPr="00C85400">
        <w:t>2.</w:t>
      </w:r>
      <w:r w:rsidRPr="00C85400">
        <w:tab/>
        <w:t>Kierowników jednostek/komórek organizacyjnych zobowiązuje się do niezwłocznego przekazania treści zmian do regulaminu pracy podległym im pracownikom.</w:t>
      </w:r>
    </w:p>
    <w:p w14:paraId="10E98D0F" w14:textId="77777777" w:rsidR="005E5682" w:rsidRPr="002A2007" w:rsidRDefault="005E5682" w:rsidP="005E5682">
      <w:pPr>
        <w:spacing w:before="120"/>
        <w:ind w:left="425" w:hanging="425"/>
        <w:jc w:val="both"/>
      </w:pPr>
      <w:r w:rsidRPr="002A2007">
        <w:t>3.</w:t>
      </w:r>
      <w:r w:rsidRPr="002A2007">
        <w:tab/>
        <w:t>Każdy pracownik ma obowiązek zapoznania się ze zmianą regulaminu pracy do dnia 1 stycznia 2022 r.</w:t>
      </w:r>
    </w:p>
    <w:p w14:paraId="6AD5257B" w14:textId="77777777" w:rsidR="005E5682" w:rsidRDefault="005E5682" w:rsidP="005E5682">
      <w:pPr>
        <w:spacing w:before="120"/>
        <w:jc w:val="center"/>
        <w:rPr>
          <w:rFonts w:eastAsia="Calibri"/>
          <w:bCs/>
          <w:color w:val="000000"/>
          <w:kern w:val="0"/>
          <w:lang w:eastAsia="en-US"/>
        </w:rPr>
      </w:pPr>
      <w:r>
        <w:rPr>
          <w:rFonts w:eastAsia="Calibri"/>
          <w:bCs/>
          <w:color w:val="000000"/>
          <w:kern w:val="0"/>
          <w:lang w:eastAsia="en-US"/>
        </w:rPr>
        <w:t>§ 4</w:t>
      </w:r>
    </w:p>
    <w:p w14:paraId="5B457D4C" w14:textId="36295D70" w:rsidR="00C44396" w:rsidRPr="00C85400" w:rsidRDefault="005E5682" w:rsidP="005E5682">
      <w:pPr>
        <w:spacing w:before="120"/>
        <w:jc w:val="both"/>
        <w:rPr>
          <w:rFonts w:eastAsia="Calibri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 xml:space="preserve">Zarządzenie wchodzi w życie z dniem </w:t>
      </w:r>
      <w:r w:rsidR="00286720">
        <w:rPr>
          <w:rFonts w:eastAsia="Calibri"/>
          <w:color w:val="000000"/>
          <w:kern w:val="0"/>
          <w:lang w:eastAsia="en-US"/>
        </w:rPr>
        <w:t>1 stycznia</w:t>
      </w:r>
      <w:r>
        <w:rPr>
          <w:rFonts w:eastAsia="Calibri"/>
          <w:color w:val="000000"/>
          <w:kern w:val="0"/>
          <w:lang w:eastAsia="en-US"/>
        </w:rPr>
        <w:t xml:space="preserve"> 2022 r</w:t>
      </w:r>
      <w:r>
        <w:rPr>
          <w:rFonts w:eastAsia="Calibri"/>
          <w:kern w:val="0"/>
          <w:lang w:eastAsia="en-US"/>
        </w:rPr>
        <w:t>.</w:t>
      </w:r>
    </w:p>
    <w:sectPr w:rsidR="00C44396" w:rsidRPr="00C85400" w:rsidSect="00945595">
      <w:footerReference w:type="default" r:id="rId9"/>
      <w:foot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1378" w14:textId="77777777" w:rsidR="00384389" w:rsidRDefault="00384389">
      <w:r>
        <w:separator/>
      </w:r>
    </w:p>
  </w:endnote>
  <w:endnote w:type="continuationSeparator" w:id="0">
    <w:p w14:paraId="4294D187" w14:textId="77777777" w:rsidR="00384389" w:rsidRDefault="0038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7BF9" w14:textId="77777777" w:rsidR="001911FF" w:rsidRDefault="001911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2CCD748" w14:textId="77777777" w:rsidR="001911FF" w:rsidRDefault="00191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3C2A" w14:textId="77777777" w:rsidR="0057333B" w:rsidRDefault="005733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227453F9" w14:textId="77777777" w:rsidR="0057333B" w:rsidRDefault="00573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B64F" w14:textId="77777777" w:rsidR="00384389" w:rsidRDefault="00384389">
      <w:r>
        <w:separator/>
      </w:r>
    </w:p>
  </w:footnote>
  <w:footnote w:type="continuationSeparator" w:id="0">
    <w:p w14:paraId="22B9C08A" w14:textId="77777777" w:rsidR="00384389" w:rsidRDefault="0038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539B6"/>
    <w:multiLevelType w:val="hybridMultilevel"/>
    <w:tmpl w:val="F8B27276"/>
    <w:lvl w:ilvl="0" w:tplc="1554C05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F0349C"/>
    <w:multiLevelType w:val="hybridMultilevel"/>
    <w:tmpl w:val="DD7A1086"/>
    <w:lvl w:ilvl="0" w:tplc="C2DACD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7B9C"/>
    <w:multiLevelType w:val="hybridMultilevel"/>
    <w:tmpl w:val="7EC612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073BA"/>
    <w:multiLevelType w:val="hybridMultilevel"/>
    <w:tmpl w:val="51968150"/>
    <w:lvl w:ilvl="0" w:tplc="B4BADDD2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E3DF7"/>
    <w:multiLevelType w:val="hybridMultilevel"/>
    <w:tmpl w:val="355A270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ChangesUpdateDate" w:val="2020-10-07"/>
  </w:docVars>
  <w:rsids>
    <w:rsidRoot w:val="00C44396"/>
    <w:rsid w:val="00001D14"/>
    <w:rsid w:val="00013B47"/>
    <w:rsid w:val="00021B71"/>
    <w:rsid w:val="00022D9D"/>
    <w:rsid w:val="0002587E"/>
    <w:rsid w:val="000262DC"/>
    <w:rsid w:val="0002709A"/>
    <w:rsid w:val="0002749A"/>
    <w:rsid w:val="00027F25"/>
    <w:rsid w:val="00040C93"/>
    <w:rsid w:val="000505C4"/>
    <w:rsid w:val="00050A0F"/>
    <w:rsid w:val="000531EA"/>
    <w:rsid w:val="00074DFD"/>
    <w:rsid w:val="0007726A"/>
    <w:rsid w:val="00081C1F"/>
    <w:rsid w:val="00087FA0"/>
    <w:rsid w:val="00092763"/>
    <w:rsid w:val="000A455F"/>
    <w:rsid w:val="000A584F"/>
    <w:rsid w:val="000D1915"/>
    <w:rsid w:val="000D50D8"/>
    <w:rsid w:val="000E2A77"/>
    <w:rsid w:val="000E7D67"/>
    <w:rsid w:val="000F5FFB"/>
    <w:rsid w:val="00107D54"/>
    <w:rsid w:val="001109D4"/>
    <w:rsid w:val="001260AF"/>
    <w:rsid w:val="00131F1B"/>
    <w:rsid w:val="00134502"/>
    <w:rsid w:val="00136D94"/>
    <w:rsid w:val="00136E9A"/>
    <w:rsid w:val="00146439"/>
    <w:rsid w:val="001531B5"/>
    <w:rsid w:val="00160CB5"/>
    <w:rsid w:val="00163FCE"/>
    <w:rsid w:val="00165B58"/>
    <w:rsid w:val="0016762B"/>
    <w:rsid w:val="00182BFA"/>
    <w:rsid w:val="001832F9"/>
    <w:rsid w:val="001911FF"/>
    <w:rsid w:val="00191771"/>
    <w:rsid w:val="00192F56"/>
    <w:rsid w:val="001A3CC1"/>
    <w:rsid w:val="001A4975"/>
    <w:rsid w:val="001A6894"/>
    <w:rsid w:val="001B2DC6"/>
    <w:rsid w:val="001B53F6"/>
    <w:rsid w:val="001C4AA8"/>
    <w:rsid w:val="001D238F"/>
    <w:rsid w:val="001E3209"/>
    <w:rsid w:val="001E6872"/>
    <w:rsid w:val="001F240B"/>
    <w:rsid w:val="001F416B"/>
    <w:rsid w:val="002032AE"/>
    <w:rsid w:val="00203DF0"/>
    <w:rsid w:val="0020622A"/>
    <w:rsid w:val="00206F38"/>
    <w:rsid w:val="0021781F"/>
    <w:rsid w:val="00221713"/>
    <w:rsid w:val="00225A98"/>
    <w:rsid w:val="00226B6B"/>
    <w:rsid w:val="002272DE"/>
    <w:rsid w:val="002309EE"/>
    <w:rsid w:val="002458CB"/>
    <w:rsid w:val="002473CC"/>
    <w:rsid w:val="00256677"/>
    <w:rsid w:val="00261939"/>
    <w:rsid w:val="002741CB"/>
    <w:rsid w:val="00286720"/>
    <w:rsid w:val="00287A7D"/>
    <w:rsid w:val="002A2007"/>
    <w:rsid w:val="002B562A"/>
    <w:rsid w:val="002C3E50"/>
    <w:rsid w:val="002C5EC5"/>
    <w:rsid w:val="002D2A37"/>
    <w:rsid w:val="002D4D4E"/>
    <w:rsid w:val="002E068E"/>
    <w:rsid w:val="002E1E31"/>
    <w:rsid w:val="002F4F02"/>
    <w:rsid w:val="0030321B"/>
    <w:rsid w:val="00312B12"/>
    <w:rsid w:val="00321B57"/>
    <w:rsid w:val="0032251F"/>
    <w:rsid w:val="0032657B"/>
    <w:rsid w:val="00333493"/>
    <w:rsid w:val="00336252"/>
    <w:rsid w:val="00343CE4"/>
    <w:rsid w:val="00344F1C"/>
    <w:rsid w:val="00352779"/>
    <w:rsid w:val="00353249"/>
    <w:rsid w:val="00354ACD"/>
    <w:rsid w:val="00361600"/>
    <w:rsid w:val="00365BE8"/>
    <w:rsid w:val="00384389"/>
    <w:rsid w:val="00397EF4"/>
    <w:rsid w:val="003A1506"/>
    <w:rsid w:val="003A2165"/>
    <w:rsid w:val="003A3888"/>
    <w:rsid w:val="003A5751"/>
    <w:rsid w:val="003A5E49"/>
    <w:rsid w:val="003B0915"/>
    <w:rsid w:val="003B2952"/>
    <w:rsid w:val="003B77DA"/>
    <w:rsid w:val="003C5D3E"/>
    <w:rsid w:val="003D1C37"/>
    <w:rsid w:val="003F27F9"/>
    <w:rsid w:val="003F6358"/>
    <w:rsid w:val="00403EBB"/>
    <w:rsid w:val="00404078"/>
    <w:rsid w:val="00410CA2"/>
    <w:rsid w:val="00433C62"/>
    <w:rsid w:val="00437C4A"/>
    <w:rsid w:val="004434B7"/>
    <w:rsid w:val="004560D5"/>
    <w:rsid w:val="00473157"/>
    <w:rsid w:val="004A407A"/>
    <w:rsid w:val="004A4CF8"/>
    <w:rsid w:val="004A7FEB"/>
    <w:rsid w:val="004B1B98"/>
    <w:rsid w:val="004B4CF7"/>
    <w:rsid w:val="004B726D"/>
    <w:rsid w:val="004C219A"/>
    <w:rsid w:val="004C6DC3"/>
    <w:rsid w:val="004D26C8"/>
    <w:rsid w:val="004D2F88"/>
    <w:rsid w:val="004D4754"/>
    <w:rsid w:val="004E2988"/>
    <w:rsid w:val="004F273D"/>
    <w:rsid w:val="004F34B3"/>
    <w:rsid w:val="0050013E"/>
    <w:rsid w:val="005008F3"/>
    <w:rsid w:val="00506142"/>
    <w:rsid w:val="00507862"/>
    <w:rsid w:val="00510242"/>
    <w:rsid w:val="0052311E"/>
    <w:rsid w:val="00536CA0"/>
    <w:rsid w:val="00536F3C"/>
    <w:rsid w:val="005408C2"/>
    <w:rsid w:val="00541874"/>
    <w:rsid w:val="00546930"/>
    <w:rsid w:val="00547A32"/>
    <w:rsid w:val="00553258"/>
    <w:rsid w:val="00553D0A"/>
    <w:rsid w:val="005578D9"/>
    <w:rsid w:val="00565692"/>
    <w:rsid w:val="0057333B"/>
    <w:rsid w:val="00573749"/>
    <w:rsid w:val="0058590D"/>
    <w:rsid w:val="005863FF"/>
    <w:rsid w:val="005A51E9"/>
    <w:rsid w:val="005B61E5"/>
    <w:rsid w:val="005C492E"/>
    <w:rsid w:val="005E5682"/>
    <w:rsid w:val="00603776"/>
    <w:rsid w:val="00630DAA"/>
    <w:rsid w:val="00641ED8"/>
    <w:rsid w:val="006521CD"/>
    <w:rsid w:val="00655EA6"/>
    <w:rsid w:val="00663F0A"/>
    <w:rsid w:val="00687698"/>
    <w:rsid w:val="00691AA3"/>
    <w:rsid w:val="006A4E5A"/>
    <w:rsid w:val="006B1E17"/>
    <w:rsid w:val="006C0B61"/>
    <w:rsid w:val="006C46B9"/>
    <w:rsid w:val="006C779A"/>
    <w:rsid w:val="006D5DD1"/>
    <w:rsid w:val="006E2109"/>
    <w:rsid w:val="006E5263"/>
    <w:rsid w:val="006E5BC7"/>
    <w:rsid w:val="006F10DA"/>
    <w:rsid w:val="006F49C4"/>
    <w:rsid w:val="006F4D4B"/>
    <w:rsid w:val="006F7D81"/>
    <w:rsid w:val="00713BF7"/>
    <w:rsid w:val="007158A6"/>
    <w:rsid w:val="0071630D"/>
    <w:rsid w:val="0071700C"/>
    <w:rsid w:val="007201EB"/>
    <w:rsid w:val="00734AC1"/>
    <w:rsid w:val="007372AD"/>
    <w:rsid w:val="00742138"/>
    <w:rsid w:val="00745A01"/>
    <w:rsid w:val="00750A67"/>
    <w:rsid w:val="00754AAE"/>
    <w:rsid w:val="0076583E"/>
    <w:rsid w:val="007713F5"/>
    <w:rsid w:val="00775B60"/>
    <w:rsid w:val="00781635"/>
    <w:rsid w:val="00792F50"/>
    <w:rsid w:val="007A5C3C"/>
    <w:rsid w:val="007C6C94"/>
    <w:rsid w:val="007C6F38"/>
    <w:rsid w:val="007D176E"/>
    <w:rsid w:val="007D483E"/>
    <w:rsid w:val="007E20AA"/>
    <w:rsid w:val="007E440B"/>
    <w:rsid w:val="007F57BB"/>
    <w:rsid w:val="0081418F"/>
    <w:rsid w:val="00816D5E"/>
    <w:rsid w:val="0083179F"/>
    <w:rsid w:val="008318DE"/>
    <w:rsid w:val="008344D4"/>
    <w:rsid w:val="0083635E"/>
    <w:rsid w:val="00840D09"/>
    <w:rsid w:val="008439F3"/>
    <w:rsid w:val="008533E3"/>
    <w:rsid w:val="00864F46"/>
    <w:rsid w:val="0086702B"/>
    <w:rsid w:val="00867441"/>
    <w:rsid w:val="008806A1"/>
    <w:rsid w:val="0088424E"/>
    <w:rsid w:val="00890B3A"/>
    <w:rsid w:val="00893BD4"/>
    <w:rsid w:val="008967EA"/>
    <w:rsid w:val="008A4DF8"/>
    <w:rsid w:val="008A5A22"/>
    <w:rsid w:val="008B056B"/>
    <w:rsid w:val="008C08D5"/>
    <w:rsid w:val="008D0CB0"/>
    <w:rsid w:val="008D6BDB"/>
    <w:rsid w:val="008D78C2"/>
    <w:rsid w:val="008E025F"/>
    <w:rsid w:val="008E0EF8"/>
    <w:rsid w:val="008E326A"/>
    <w:rsid w:val="008E5F7E"/>
    <w:rsid w:val="008F345F"/>
    <w:rsid w:val="0092013B"/>
    <w:rsid w:val="009210FC"/>
    <w:rsid w:val="00924A1B"/>
    <w:rsid w:val="00925C9B"/>
    <w:rsid w:val="00925EE7"/>
    <w:rsid w:val="0093362F"/>
    <w:rsid w:val="009359FA"/>
    <w:rsid w:val="00945595"/>
    <w:rsid w:val="00955332"/>
    <w:rsid w:val="00974D10"/>
    <w:rsid w:val="00975070"/>
    <w:rsid w:val="00981E01"/>
    <w:rsid w:val="00983B05"/>
    <w:rsid w:val="0098484B"/>
    <w:rsid w:val="00986470"/>
    <w:rsid w:val="00987DAD"/>
    <w:rsid w:val="009900CF"/>
    <w:rsid w:val="009907D0"/>
    <w:rsid w:val="00992801"/>
    <w:rsid w:val="009A049A"/>
    <w:rsid w:val="009C07DE"/>
    <w:rsid w:val="009C0E11"/>
    <w:rsid w:val="009D7E81"/>
    <w:rsid w:val="009E12EC"/>
    <w:rsid w:val="009E57AE"/>
    <w:rsid w:val="009E5C96"/>
    <w:rsid w:val="009E5CA3"/>
    <w:rsid w:val="009E6F27"/>
    <w:rsid w:val="00A02BDD"/>
    <w:rsid w:val="00A05DFC"/>
    <w:rsid w:val="00A25456"/>
    <w:rsid w:val="00A33B84"/>
    <w:rsid w:val="00A351C6"/>
    <w:rsid w:val="00A354CD"/>
    <w:rsid w:val="00A44BD9"/>
    <w:rsid w:val="00A541F8"/>
    <w:rsid w:val="00A55F32"/>
    <w:rsid w:val="00A562E0"/>
    <w:rsid w:val="00A61F4F"/>
    <w:rsid w:val="00A63A9A"/>
    <w:rsid w:val="00A672FB"/>
    <w:rsid w:val="00A825E3"/>
    <w:rsid w:val="00A85CF0"/>
    <w:rsid w:val="00A87613"/>
    <w:rsid w:val="00A97BDE"/>
    <w:rsid w:val="00AA7182"/>
    <w:rsid w:val="00AA786B"/>
    <w:rsid w:val="00AB323C"/>
    <w:rsid w:val="00AD3452"/>
    <w:rsid w:val="00AD7164"/>
    <w:rsid w:val="00AD7832"/>
    <w:rsid w:val="00AE3AE7"/>
    <w:rsid w:val="00AF4FD2"/>
    <w:rsid w:val="00B036E6"/>
    <w:rsid w:val="00B039B6"/>
    <w:rsid w:val="00B05B71"/>
    <w:rsid w:val="00B06A29"/>
    <w:rsid w:val="00B45C12"/>
    <w:rsid w:val="00B45DED"/>
    <w:rsid w:val="00B51859"/>
    <w:rsid w:val="00B52722"/>
    <w:rsid w:val="00B57CF6"/>
    <w:rsid w:val="00B63325"/>
    <w:rsid w:val="00B75CD6"/>
    <w:rsid w:val="00B77FD7"/>
    <w:rsid w:val="00B80296"/>
    <w:rsid w:val="00B85AF7"/>
    <w:rsid w:val="00B86BF2"/>
    <w:rsid w:val="00B87E35"/>
    <w:rsid w:val="00BA0551"/>
    <w:rsid w:val="00BC2C8D"/>
    <w:rsid w:val="00BC2CF0"/>
    <w:rsid w:val="00BC74F2"/>
    <w:rsid w:val="00BD5D3A"/>
    <w:rsid w:val="00BE40FB"/>
    <w:rsid w:val="00BE53F9"/>
    <w:rsid w:val="00C0357E"/>
    <w:rsid w:val="00C042BC"/>
    <w:rsid w:val="00C16EAF"/>
    <w:rsid w:val="00C3280E"/>
    <w:rsid w:val="00C35910"/>
    <w:rsid w:val="00C37D20"/>
    <w:rsid w:val="00C4234F"/>
    <w:rsid w:val="00C44396"/>
    <w:rsid w:val="00C51C44"/>
    <w:rsid w:val="00C52001"/>
    <w:rsid w:val="00C5338A"/>
    <w:rsid w:val="00C53D39"/>
    <w:rsid w:val="00C54528"/>
    <w:rsid w:val="00C74F31"/>
    <w:rsid w:val="00C85400"/>
    <w:rsid w:val="00C91720"/>
    <w:rsid w:val="00CA5719"/>
    <w:rsid w:val="00CB0497"/>
    <w:rsid w:val="00CC4A18"/>
    <w:rsid w:val="00CE15DE"/>
    <w:rsid w:val="00CE529F"/>
    <w:rsid w:val="00D024D2"/>
    <w:rsid w:val="00D02B62"/>
    <w:rsid w:val="00D03C5E"/>
    <w:rsid w:val="00D05DD3"/>
    <w:rsid w:val="00D079FB"/>
    <w:rsid w:val="00D128EF"/>
    <w:rsid w:val="00D2755F"/>
    <w:rsid w:val="00D2757C"/>
    <w:rsid w:val="00D31B11"/>
    <w:rsid w:val="00D332E3"/>
    <w:rsid w:val="00D41903"/>
    <w:rsid w:val="00D46823"/>
    <w:rsid w:val="00D5558C"/>
    <w:rsid w:val="00D63DBC"/>
    <w:rsid w:val="00D94FE8"/>
    <w:rsid w:val="00D96678"/>
    <w:rsid w:val="00DA6111"/>
    <w:rsid w:val="00DA634F"/>
    <w:rsid w:val="00DB52B2"/>
    <w:rsid w:val="00DC37DF"/>
    <w:rsid w:val="00DC47EE"/>
    <w:rsid w:val="00DC545B"/>
    <w:rsid w:val="00DD30A8"/>
    <w:rsid w:val="00DD497E"/>
    <w:rsid w:val="00DF009A"/>
    <w:rsid w:val="00E04935"/>
    <w:rsid w:val="00E203AF"/>
    <w:rsid w:val="00E205A6"/>
    <w:rsid w:val="00E25A7B"/>
    <w:rsid w:val="00E35F80"/>
    <w:rsid w:val="00E460AA"/>
    <w:rsid w:val="00E57226"/>
    <w:rsid w:val="00E57771"/>
    <w:rsid w:val="00E61E97"/>
    <w:rsid w:val="00E62BA2"/>
    <w:rsid w:val="00E6744B"/>
    <w:rsid w:val="00E73123"/>
    <w:rsid w:val="00E7496D"/>
    <w:rsid w:val="00E75E9E"/>
    <w:rsid w:val="00E770FD"/>
    <w:rsid w:val="00E80C2A"/>
    <w:rsid w:val="00E915CF"/>
    <w:rsid w:val="00E91A7C"/>
    <w:rsid w:val="00E95B02"/>
    <w:rsid w:val="00EB0697"/>
    <w:rsid w:val="00ED3E7E"/>
    <w:rsid w:val="00EE01E4"/>
    <w:rsid w:val="00EF2579"/>
    <w:rsid w:val="00EF478A"/>
    <w:rsid w:val="00EF718F"/>
    <w:rsid w:val="00F16956"/>
    <w:rsid w:val="00F2771B"/>
    <w:rsid w:val="00F32425"/>
    <w:rsid w:val="00F3357E"/>
    <w:rsid w:val="00F343F2"/>
    <w:rsid w:val="00F36B16"/>
    <w:rsid w:val="00F44562"/>
    <w:rsid w:val="00F4566D"/>
    <w:rsid w:val="00F64AC4"/>
    <w:rsid w:val="00F72DA5"/>
    <w:rsid w:val="00F87C83"/>
    <w:rsid w:val="00F97BA8"/>
    <w:rsid w:val="00FA0B1B"/>
    <w:rsid w:val="00FA4383"/>
    <w:rsid w:val="00FB4A61"/>
    <w:rsid w:val="00FB5E7B"/>
    <w:rsid w:val="00FB6344"/>
    <w:rsid w:val="00FC3844"/>
    <w:rsid w:val="00FC778D"/>
    <w:rsid w:val="00FD13B5"/>
    <w:rsid w:val="00FD4CFE"/>
    <w:rsid w:val="00FD7070"/>
    <w:rsid w:val="00FE1E1B"/>
    <w:rsid w:val="00FE2562"/>
    <w:rsid w:val="00FE2A7E"/>
    <w:rsid w:val="00FE3E72"/>
    <w:rsid w:val="00FE566B"/>
    <w:rsid w:val="00FF31F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366DF2"/>
  <w15:chartTrackingRefBased/>
  <w15:docId w15:val="{717B1478-2CC3-4947-9B13-D40A46BD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4F31"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paragraph" w:styleId="Akapitzlist">
    <w:name w:val="List Paragraph"/>
    <w:basedOn w:val="Normalny"/>
    <w:uiPriority w:val="34"/>
    <w:qFormat/>
    <w:rsid w:val="00C4439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44396"/>
  </w:style>
  <w:style w:type="character" w:customStyle="1" w:styleId="contextualspellingandgrammarerror">
    <w:name w:val="contextualspellingandgrammarerror"/>
    <w:basedOn w:val="Domylnaczcionkaakapitu"/>
    <w:rsid w:val="00C4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FFBB-49A9-4E71-9F30-BBFE8334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49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cp:lastModifiedBy>Barbara Augustyniak-Czumaczenko ROO</cp:lastModifiedBy>
  <cp:revision>14</cp:revision>
  <cp:lastPrinted>2021-12-14T09:37:00Z</cp:lastPrinted>
  <dcterms:created xsi:type="dcterms:W3CDTF">2021-11-15T12:28:00Z</dcterms:created>
  <dcterms:modified xsi:type="dcterms:W3CDTF">2021-12-15T09:59:00Z</dcterms:modified>
</cp:coreProperties>
</file>