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68"/>
        <w:tblW w:w="16292" w:type="dxa"/>
        <w:tblCellMar>
          <w:left w:w="70" w:type="dxa"/>
          <w:right w:w="70" w:type="dxa"/>
        </w:tblCellMar>
        <w:tblLook w:val="04A0" w:firstRow="1" w:lastRow="0" w:firstColumn="1" w:lastColumn="0" w:noHBand="0" w:noVBand="1"/>
      </w:tblPr>
      <w:tblGrid>
        <w:gridCol w:w="585"/>
        <w:gridCol w:w="2099"/>
        <w:gridCol w:w="2096"/>
        <w:gridCol w:w="1773"/>
        <w:gridCol w:w="2012"/>
        <w:gridCol w:w="2371"/>
        <w:gridCol w:w="5356"/>
      </w:tblGrid>
      <w:tr w:rsidR="00213038" w:rsidRPr="00CF74F2" w14:paraId="2A929DED" w14:textId="77777777" w:rsidTr="00527DB3">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33F71FFB" w14:textId="784150FE" w:rsidR="00213038" w:rsidRPr="00AF54EC" w:rsidRDefault="00213038" w:rsidP="00776031">
            <w:pPr>
              <w:spacing w:after="0" w:line="240" w:lineRule="auto"/>
              <w:jc w:val="center"/>
              <w:rPr>
                <w:rFonts w:ascii="Calibri" w:eastAsia="Times New Roman" w:hAnsi="Calibri" w:cs="Calibri"/>
                <w:b/>
                <w:bCs/>
                <w:color w:val="000000"/>
                <w:lang w:val="en-GB" w:eastAsia="pl-PL"/>
              </w:rPr>
            </w:pPr>
            <w:r w:rsidRPr="00AF54EC">
              <w:rPr>
                <w:rFonts w:ascii="Calibri" w:eastAsia="Times New Roman" w:hAnsi="Calibri" w:cs="Calibri"/>
                <w:b/>
                <w:bCs/>
                <w:color w:val="000000"/>
                <w:lang w:val="en-GB" w:eastAsia="pl-PL"/>
              </w:rPr>
              <w:t xml:space="preserve">I. </w:t>
            </w:r>
            <w:r w:rsidR="0035574A" w:rsidRPr="00AF54EC">
              <w:rPr>
                <w:rFonts w:ascii="Calibri" w:eastAsia="Times New Roman" w:hAnsi="Calibri" w:cs="Calibri"/>
                <w:b/>
                <w:bCs/>
                <w:color w:val="000000"/>
                <w:lang w:val="en-GB" w:eastAsia="pl-PL"/>
              </w:rPr>
              <w:t>Ethical and Professional Aspects</w:t>
            </w:r>
          </w:p>
        </w:tc>
      </w:tr>
      <w:tr w:rsidR="00FF6CDE" w:rsidRPr="00CF74F2" w14:paraId="3DEBEB41" w14:textId="77777777" w:rsidTr="006B14C7">
        <w:trPr>
          <w:trHeight w:val="3000"/>
        </w:trPr>
        <w:tc>
          <w:tcPr>
            <w:tcW w:w="585" w:type="dxa"/>
            <w:tcBorders>
              <w:top w:val="nil"/>
              <w:left w:val="single" w:sz="8" w:space="0" w:color="auto"/>
              <w:bottom w:val="single" w:sz="8" w:space="0" w:color="auto"/>
              <w:right w:val="single" w:sz="8" w:space="0" w:color="auto"/>
            </w:tcBorders>
            <w:shd w:val="clear" w:color="000000" w:fill="BFBFBF"/>
            <w:vAlign w:val="center"/>
            <w:hideMark/>
          </w:tcPr>
          <w:p w14:paraId="55C15A59" w14:textId="77777777" w:rsidR="00FF6CDE" w:rsidRPr="00AF54EC" w:rsidRDefault="00FF6CDE" w:rsidP="00FF6CDE">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I.1</w:t>
            </w:r>
          </w:p>
        </w:tc>
        <w:tc>
          <w:tcPr>
            <w:tcW w:w="2099" w:type="dxa"/>
            <w:tcBorders>
              <w:top w:val="nil"/>
              <w:left w:val="nil"/>
              <w:bottom w:val="single" w:sz="8" w:space="0" w:color="auto"/>
              <w:right w:val="single" w:sz="8" w:space="0" w:color="auto"/>
            </w:tcBorders>
            <w:shd w:val="clear" w:color="auto" w:fill="auto"/>
            <w:vAlign w:val="center"/>
            <w:hideMark/>
          </w:tcPr>
          <w:p w14:paraId="75B3EC95" w14:textId="11830DF5" w:rsidR="00FF6CDE" w:rsidRPr="00AF54EC" w:rsidRDefault="00FF6CDE" w:rsidP="00FF6CDE">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 Ethical principles</w:t>
            </w:r>
          </w:p>
        </w:tc>
        <w:tc>
          <w:tcPr>
            <w:tcW w:w="2096" w:type="dxa"/>
            <w:tcBorders>
              <w:top w:val="nil"/>
              <w:left w:val="nil"/>
              <w:bottom w:val="single" w:sz="8" w:space="0" w:color="auto"/>
              <w:right w:val="single" w:sz="8" w:space="0" w:color="auto"/>
            </w:tcBorders>
            <w:shd w:val="clear" w:color="auto" w:fill="auto"/>
            <w:vAlign w:val="center"/>
            <w:hideMark/>
          </w:tcPr>
          <w:p w14:paraId="128811AF" w14:textId="07B9DB6D" w:rsidR="00FF6CDE" w:rsidRPr="00AF54EC" w:rsidRDefault="00FF6CDE" w:rsidP="00FF6CDE">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To draw up a code of ethics </w:t>
            </w:r>
          </w:p>
        </w:tc>
        <w:tc>
          <w:tcPr>
            <w:tcW w:w="1773" w:type="dxa"/>
            <w:tcBorders>
              <w:top w:val="nil"/>
              <w:left w:val="nil"/>
              <w:bottom w:val="single" w:sz="8" w:space="0" w:color="auto"/>
              <w:right w:val="single" w:sz="8" w:space="0" w:color="auto"/>
            </w:tcBorders>
            <w:shd w:val="clear" w:color="auto" w:fill="auto"/>
            <w:vAlign w:val="center"/>
            <w:hideMark/>
          </w:tcPr>
          <w:p w14:paraId="57B31696" w14:textId="0D39B4D1" w:rsidR="00854BAE" w:rsidRDefault="00854BAE" w:rsidP="00FF6CDE">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p w14:paraId="091B1C4D" w14:textId="5A81AC86" w:rsidR="00854BAE" w:rsidRPr="00AF54EC" w:rsidRDefault="00854BAE" w:rsidP="00FF6CDE">
            <w:pPr>
              <w:spacing w:after="0" w:line="240" w:lineRule="auto"/>
              <w:rPr>
                <w:rFonts w:ascii="Calibri" w:eastAsia="Times New Roman" w:hAnsi="Calibri" w:cs="Calibri"/>
                <w:color w:val="000000"/>
                <w:lang w:val="en-GB" w:eastAsia="pl-PL"/>
              </w:rPr>
            </w:pPr>
          </w:p>
        </w:tc>
        <w:tc>
          <w:tcPr>
            <w:tcW w:w="2012" w:type="dxa"/>
            <w:tcBorders>
              <w:top w:val="nil"/>
              <w:left w:val="nil"/>
              <w:bottom w:val="single" w:sz="8" w:space="0" w:color="auto"/>
              <w:right w:val="single" w:sz="8" w:space="0" w:color="auto"/>
            </w:tcBorders>
            <w:shd w:val="clear" w:color="auto" w:fill="auto"/>
            <w:vAlign w:val="center"/>
            <w:hideMark/>
          </w:tcPr>
          <w:p w14:paraId="70197283" w14:textId="7D254488" w:rsidR="00FF6CDE" w:rsidRPr="00AF54EC" w:rsidRDefault="00FF6CDE" w:rsidP="00FF6CDE">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TUL Code of Ethics</w:t>
            </w:r>
          </w:p>
        </w:tc>
        <w:tc>
          <w:tcPr>
            <w:tcW w:w="2371" w:type="dxa"/>
            <w:tcBorders>
              <w:top w:val="nil"/>
              <w:left w:val="nil"/>
              <w:bottom w:val="single" w:sz="8" w:space="0" w:color="auto"/>
              <w:right w:val="single" w:sz="8" w:space="0" w:color="auto"/>
            </w:tcBorders>
            <w:shd w:val="clear" w:color="auto" w:fill="auto"/>
            <w:vAlign w:val="center"/>
            <w:hideMark/>
          </w:tcPr>
          <w:p w14:paraId="1B4B02CE" w14:textId="69D94D98" w:rsidR="00FF6CDE" w:rsidRPr="00AF54EC" w:rsidRDefault="00FF6CDE" w:rsidP="00FF6CDE">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2022-2023</w:t>
            </w:r>
          </w:p>
        </w:tc>
        <w:tc>
          <w:tcPr>
            <w:tcW w:w="5356" w:type="dxa"/>
            <w:tcBorders>
              <w:top w:val="nil"/>
              <w:left w:val="nil"/>
              <w:bottom w:val="single" w:sz="8" w:space="0" w:color="auto"/>
              <w:right w:val="single" w:sz="8" w:space="0" w:color="auto"/>
            </w:tcBorders>
            <w:shd w:val="clear" w:color="auto" w:fill="auto"/>
            <w:vAlign w:val="center"/>
            <w:hideMark/>
          </w:tcPr>
          <w:p w14:paraId="41EEEE7C" w14:textId="77777777" w:rsidR="00FF6CDE" w:rsidRPr="00AF54EC" w:rsidRDefault="00FF6CDE" w:rsidP="00FF6CDE">
            <w:pPr>
              <w:rPr>
                <w:rFonts w:ascii="Calibri" w:eastAsia="Times New Roman" w:hAnsi="Calibri" w:cs="Calibri"/>
                <w:lang w:val="en-GB" w:eastAsia="pl-PL"/>
              </w:rPr>
            </w:pPr>
            <w:r w:rsidRPr="00AF54EC">
              <w:rPr>
                <w:rFonts w:ascii="Calibri" w:eastAsia="Times New Roman" w:hAnsi="Calibri" w:cs="Calibri"/>
                <w:lang w:val="en-GB" w:eastAsia="pl-PL"/>
              </w:rPr>
              <w:t xml:space="preserve">To develop a comprehensive and cross-cutting document to be the internal legal act regulating ethical conduct of all TUL staff. The Code of Ethics will specify the standards of conduct. Compliance with those standards will assure competence, responsibility, and high morals of TUL staff in the performance of their professional responsibilities. </w:t>
            </w:r>
          </w:p>
          <w:p w14:paraId="27B74C04" w14:textId="5082B88E" w:rsidR="00FF6CDE" w:rsidRPr="00AF54EC" w:rsidRDefault="00FF6CDE" w:rsidP="00FF6CDE">
            <w:pPr>
              <w:spacing w:after="0" w:line="240" w:lineRule="auto"/>
              <w:jc w:val="both"/>
              <w:rPr>
                <w:rFonts w:ascii="Calibri" w:eastAsia="Times New Roman" w:hAnsi="Calibri" w:cs="Calibri"/>
                <w:lang w:val="en-GB" w:eastAsia="pl-PL"/>
              </w:rPr>
            </w:pPr>
          </w:p>
        </w:tc>
      </w:tr>
      <w:tr w:rsidR="0035574A" w:rsidRPr="00CF74F2" w14:paraId="2BEEE5EA" w14:textId="77777777" w:rsidTr="002C72ED">
        <w:trPr>
          <w:trHeight w:val="3000"/>
        </w:trPr>
        <w:tc>
          <w:tcPr>
            <w:tcW w:w="585" w:type="dxa"/>
            <w:tcBorders>
              <w:top w:val="nil"/>
              <w:left w:val="single" w:sz="8" w:space="0" w:color="auto"/>
              <w:bottom w:val="single" w:sz="4" w:space="0" w:color="auto"/>
              <w:right w:val="single" w:sz="8" w:space="0" w:color="auto"/>
            </w:tcBorders>
            <w:shd w:val="clear" w:color="000000" w:fill="BFBFBF"/>
            <w:vAlign w:val="center"/>
            <w:hideMark/>
          </w:tcPr>
          <w:p w14:paraId="1EACE020" w14:textId="77777777" w:rsidR="0035574A" w:rsidRPr="00AF54EC" w:rsidRDefault="0035574A" w:rsidP="0035574A">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I.2</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691EF859" w14:textId="66744CA2"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8. Dissemination, exploitation of results</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642A6E88" w14:textId="7EAF82DD"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To take advantage of social media technologies to disseminate research results and initiate research collaborations (continued action)</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4ADF4F71" w14:textId="4508CA8A"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Media and Communications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73F77B70" w14:textId="3BAFF2CF"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social media followers</w:t>
            </w:r>
            <w:r w:rsidRPr="00AF54EC">
              <w:rPr>
                <w:rFonts w:cstheme="minorHAnsi"/>
                <w:sz w:val="20"/>
                <w:szCs w:val="20"/>
                <w:lang w:val="en-GB"/>
              </w:rPr>
              <w:t xml:space="preserve"> </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78476C46" w14:textId="4C240A9C"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6711AB8B" w14:textId="30BBC8F6" w:rsidR="0035574A" w:rsidRPr="00AF54EC" w:rsidRDefault="0035574A" w:rsidP="0035574A">
            <w:pPr>
              <w:spacing w:after="0" w:line="240" w:lineRule="auto"/>
              <w:jc w:val="both"/>
              <w:rPr>
                <w:rFonts w:ascii="Calibri" w:eastAsia="Times New Roman" w:hAnsi="Calibri" w:cs="Calibri"/>
                <w:lang w:val="en-GB" w:eastAsia="pl-PL"/>
              </w:rPr>
            </w:pPr>
            <w:r w:rsidRPr="00AF54EC">
              <w:rPr>
                <w:rFonts w:ascii="Calibri" w:eastAsia="Times New Roman" w:hAnsi="Calibri" w:cs="Calibri"/>
                <w:lang w:val="en-GB" w:eastAsia="pl-PL"/>
              </w:rPr>
              <w:t>In view of the growing popularity of social media, further dissemination of information is planned regarding e.g. Research Gate and LinkedIn, as well as the possibility of launching and using their professional profiles to develop scientific cooperation. The information campaign will include activities to promote taking advantage of social media in their professional activity.</w:t>
            </w:r>
          </w:p>
        </w:tc>
      </w:tr>
      <w:tr w:rsidR="0035574A" w:rsidRPr="00CF74F2" w14:paraId="6CF3B8FA" w14:textId="77777777" w:rsidTr="0049502C">
        <w:trPr>
          <w:trHeight w:val="18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06F70380" w14:textId="77777777" w:rsidR="0035574A" w:rsidRPr="00AF54EC" w:rsidRDefault="0035574A" w:rsidP="0035574A">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I.3</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4DEF89" w14:textId="5B718082"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8.  Dissemination, exploitation of results</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EB30CA" w14:textId="5E8EBAC1"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To set up webpages presenting profiles of individual researchers who wish to showcase their achievement and research output, provided by the University website www.p.lodz.pl</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BB7CF0" w14:textId="14E533F9"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Media and Communications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1B4EEF0" w14:textId="52DE77E6"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Webpages</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3F2874" w14:textId="1C53E846" w:rsidR="0035574A" w:rsidRPr="00AF54EC" w:rsidRDefault="0035574A" w:rsidP="0035574A">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FFDDFB" w14:textId="718C6A4A"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aim is to develop a user-friendly tool for researchers to design their individual professional webpage showcasing both their previous research output and current research projects</w:t>
            </w:r>
            <w:r w:rsidR="00CF74F2">
              <w:rPr>
                <w:rFonts w:ascii="Calibri" w:eastAsia="Times New Roman" w:hAnsi="Calibri" w:cs="Calibri"/>
                <w:color w:val="000000"/>
                <w:lang w:val="en-GB" w:eastAsia="pl-PL"/>
              </w:rPr>
              <w:t>.</w:t>
            </w:r>
          </w:p>
        </w:tc>
      </w:tr>
      <w:tr w:rsidR="00213038" w:rsidRPr="00AF54EC" w14:paraId="3A99DDDD" w14:textId="77777777" w:rsidTr="00527DB3">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5D0C4402" w14:textId="4FC32354" w:rsidR="00213038" w:rsidRPr="00AF54EC" w:rsidRDefault="00213038" w:rsidP="005900E0">
            <w:pPr>
              <w:spacing w:after="0" w:line="240" w:lineRule="auto"/>
              <w:jc w:val="center"/>
              <w:rPr>
                <w:rFonts w:ascii="Calibri" w:eastAsia="Times New Roman" w:hAnsi="Calibri" w:cs="Calibri"/>
                <w:b/>
                <w:bCs/>
                <w:color w:val="000000"/>
                <w:lang w:val="en-GB" w:eastAsia="pl-PL"/>
              </w:rPr>
            </w:pPr>
            <w:r w:rsidRPr="00AF54EC">
              <w:rPr>
                <w:rFonts w:ascii="Calibri" w:eastAsia="Times New Roman" w:hAnsi="Calibri" w:cs="Calibri"/>
                <w:b/>
                <w:bCs/>
                <w:color w:val="000000"/>
                <w:lang w:val="en-GB" w:eastAsia="pl-PL"/>
              </w:rPr>
              <w:t xml:space="preserve">II. </w:t>
            </w:r>
            <w:r w:rsidR="00FF6CDE" w:rsidRPr="00AF54EC">
              <w:rPr>
                <w:rFonts w:ascii="Calibri" w:eastAsia="Times New Roman" w:hAnsi="Calibri" w:cs="Calibri"/>
                <w:b/>
                <w:bCs/>
                <w:color w:val="000000"/>
                <w:lang w:val="en-GB" w:eastAsia="pl-PL"/>
              </w:rPr>
              <w:t>Recruitment and Selection</w:t>
            </w:r>
          </w:p>
        </w:tc>
      </w:tr>
      <w:tr w:rsidR="0035574A" w:rsidRPr="00CF74F2" w14:paraId="549AF097" w14:textId="77777777" w:rsidTr="00FF6CDE">
        <w:trPr>
          <w:trHeight w:val="1399"/>
        </w:trPr>
        <w:tc>
          <w:tcPr>
            <w:tcW w:w="585" w:type="dxa"/>
            <w:tcBorders>
              <w:top w:val="nil"/>
              <w:left w:val="single" w:sz="8" w:space="0" w:color="auto"/>
              <w:bottom w:val="single" w:sz="8" w:space="0" w:color="auto"/>
              <w:right w:val="single" w:sz="8" w:space="0" w:color="auto"/>
            </w:tcBorders>
            <w:shd w:val="clear" w:color="000000" w:fill="BFBFBF"/>
            <w:vAlign w:val="center"/>
            <w:hideMark/>
          </w:tcPr>
          <w:p w14:paraId="3BE138A8" w14:textId="77777777" w:rsidR="0035574A" w:rsidRPr="00AF54EC" w:rsidRDefault="0035574A" w:rsidP="0035574A">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II.1</w:t>
            </w:r>
          </w:p>
        </w:tc>
        <w:tc>
          <w:tcPr>
            <w:tcW w:w="2099" w:type="dxa"/>
            <w:tcBorders>
              <w:top w:val="nil"/>
              <w:left w:val="nil"/>
              <w:bottom w:val="single" w:sz="8" w:space="0" w:color="auto"/>
              <w:right w:val="single" w:sz="8" w:space="0" w:color="auto"/>
            </w:tcBorders>
            <w:shd w:val="clear" w:color="auto" w:fill="auto"/>
            <w:vAlign w:val="center"/>
            <w:hideMark/>
          </w:tcPr>
          <w:p w14:paraId="4A4768E9" w14:textId="19983517"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12. Recruitment</w:t>
            </w:r>
          </w:p>
        </w:tc>
        <w:tc>
          <w:tcPr>
            <w:tcW w:w="2096" w:type="dxa"/>
            <w:tcBorders>
              <w:top w:val="nil"/>
              <w:left w:val="nil"/>
              <w:bottom w:val="single" w:sz="8" w:space="0" w:color="auto"/>
              <w:right w:val="single" w:sz="8" w:space="0" w:color="auto"/>
            </w:tcBorders>
            <w:shd w:val="clear" w:color="auto" w:fill="auto"/>
            <w:vAlign w:val="center"/>
            <w:hideMark/>
          </w:tcPr>
          <w:p w14:paraId="3090915B" w14:textId="5AEB0B5D"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To develop a ‘checklist’ for ongoing monitoring of each step in the recruitment process</w:t>
            </w:r>
          </w:p>
        </w:tc>
        <w:tc>
          <w:tcPr>
            <w:tcW w:w="1773" w:type="dxa"/>
            <w:tcBorders>
              <w:top w:val="nil"/>
              <w:left w:val="nil"/>
              <w:bottom w:val="single" w:sz="8" w:space="0" w:color="auto"/>
              <w:right w:val="single" w:sz="8" w:space="0" w:color="auto"/>
            </w:tcBorders>
            <w:shd w:val="clear" w:color="auto" w:fill="auto"/>
            <w:vAlign w:val="center"/>
            <w:hideMark/>
          </w:tcPr>
          <w:p w14:paraId="35251A50" w14:textId="74688E03" w:rsidR="00834184" w:rsidRPr="00AF54EC" w:rsidRDefault="00FA18CE" w:rsidP="00FA18CE">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tc>
        <w:tc>
          <w:tcPr>
            <w:tcW w:w="2012" w:type="dxa"/>
            <w:tcBorders>
              <w:top w:val="nil"/>
              <w:left w:val="nil"/>
              <w:bottom w:val="single" w:sz="8" w:space="0" w:color="auto"/>
              <w:right w:val="single" w:sz="8" w:space="0" w:color="auto"/>
            </w:tcBorders>
            <w:shd w:val="clear" w:color="auto" w:fill="auto"/>
            <w:vAlign w:val="center"/>
            <w:hideMark/>
          </w:tcPr>
          <w:p w14:paraId="6B6F4920" w14:textId="13F4EC7B"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Document</w:t>
            </w:r>
          </w:p>
        </w:tc>
        <w:tc>
          <w:tcPr>
            <w:tcW w:w="2371" w:type="dxa"/>
            <w:tcBorders>
              <w:top w:val="nil"/>
              <w:left w:val="nil"/>
              <w:bottom w:val="single" w:sz="8" w:space="0" w:color="auto"/>
              <w:right w:val="single" w:sz="8" w:space="0" w:color="auto"/>
            </w:tcBorders>
            <w:shd w:val="clear" w:color="auto" w:fill="auto"/>
            <w:vAlign w:val="center"/>
            <w:hideMark/>
          </w:tcPr>
          <w:p w14:paraId="27553734" w14:textId="264818F2"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nil"/>
              <w:left w:val="nil"/>
              <w:bottom w:val="single" w:sz="8" w:space="0" w:color="auto"/>
              <w:right w:val="single" w:sz="8" w:space="0" w:color="auto"/>
            </w:tcBorders>
            <w:shd w:val="clear" w:color="auto" w:fill="auto"/>
            <w:vAlign w:val="center"/>
            <w:hideMark/>
          </w:tcPr>
          <w:p w14:paraId="0B3392FF" w14:textId="32D69E55"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lang w:val="en-GB"/>
              </w:rPr>
              <w:t>‘The checklist’ will be a form of instruction for the committee to ensure that no step in the best practices in the recruitment process is overlooked.</w:t>
            </w:r>
          </w:p>
        </w:tc>
      </w:tr>
      <w:tr w:rsidR="0035574A" w:rsidRPr="00CF74F2" w14:paraId="68B78051" w14:textId="77777777" w:rsidTr="00FF6CDE">
        <w:trPr>
          <w:trHeight w:val="1602"/>
        </w:trPr>
        <w:tc>
          <w:tcPr>
            <w:tcW w:w="585" w:type="dxa"/>
            <w:tcBorders>
              <w:top w:val="nil"/>
              <w:left w:val="single" w:sz="8" w:space="0" w:color="auto"/>
              <w:bottom w:val="single" w:sz="4" w:space="0" w:color="auto"/>
              <w:right w:val="single" w:sz="8" w:space="0" w:color="auto"/>
            </w:tcBorders>
            <w:shd w:val="clear" w:color="000000" w:fill="BFBFBF"/>
            <w:vAlign w:val="center"/>
            <w:hideMark/>
          </w:tcPr>
          <w:p w14:paraId="570CB449" w14:textId="77777777" w:rsidR="0035574A" w:rsidRPr="00AF54EC" w:rsidRDefault="0035574A" w:rsidP="0035574A">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II.2</w:t>
            </w:r>
          </w:p>
        </w:tc>
        <w:tc>
          <w:tcPr>
            <w:tcW w:w="2099" w:type="dxa"/>
            <w:tcBorders>
              <w:top w:val="nil"/>
              <w:left w:val="nil"/>
              <w:bottom w:val="single" w:sz="8" w:space="0" w:color="auto"/>
              <w:right w:val="single" w:sz="8" w:space="0" w:color="auto"/>
            </w:tcBorders>
            <w:shd w:val="clear" w:color="auto" w:fill="auto"/>
            <w:vAlign w:val="center"/>
            <w:hideMark/>
          </w:tcPr>
          <w:p w14:paraId="1D6D2FC9" w14:textId="70FD0E6A"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12.  Recruitment</w:t>
            </w:r>
          </w:p>
        </w:tc>
        <w:tc>
          <w:tcPr>
            <w:tcW w:w="2096" w:type="dxa"/>
            <w:tcBorders>
              <w:top w:val="nil"/>
              <w:left w:val="nil"/>
              <w:bottom w:val="single" w:sz="8" w:space="0" w:color="auto"/>
              <w:right w:val="single" w:sz="8" w:space="0" w:color="auto"/>
            </w:tcBorders>
            <w:shd w:val="clear" w:color="auto" w:fill="auto"/>
            <w:vAlign w:val="center"/>
            <w:hideMark/>
          </w:tcPr>
          <w:p w14:paraId="00CEEEA4" w14:textId="38B14174"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To establish a system for monitoring recruitment processes</w:t>
            </w:r>
          </w:p>
        </w:tc>
        <w:tc>
          <w:tcPr>
            <w:tcW w:w="1773" w:type="dxa"/>
            <w:tcBorders>
              <w:top w:val="nil"/>
              <w:left w:val="nil"/>
              <w:bottom w:val="single" w:sz="8" w:space="0" w:color="auto"/>
              <w:right w:val="single" w:sz="8" w:space="0" w:color="auto"/>
            </w:tcBorders>
            <w:shd w:val="clear" w:color="auto" w:fill="auto"/>
            <w:vAlign w:val="center"/>
            <w:hideMark/>
          </w:tcPr>
          <w:p w14:paraId="60DFC35F" w14:textId="5740685F" w:rsidR="00FA18CE" w:rsidRDefault="00FA18CE" w:rsidP="00FA18CE">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p w14:paraId="1DA5BB09" w14:textId="0556E4A1" w:rsidR="00834184" w:rsidRPr="00AF54EC" w:rsidRDefault="00834184" w:rsidP="0035574A">
            <w:pPr>
              <w:spacing w:after="0" w:line="240" w:lineRule="auto"/>
              <w:rPr>
                <w:rFonts w:ascii="Calibri" w:eastAsia="Times New Roman" w:hAnsi="Calibri" w:cs="Calibri"/>
                <w:color w:val="000000"/>
                <w:lang w:val="en-GB" w:eastAsia="pl-PL"/>
              </w:rPr>
            </w:pPr>
          </w:p>
        </w:tc>
        <w:tc>
          <w:tcPr>
            <w:tcW w:w="2012" w:type="dxa"/>
            <w:tcBorders>
              <w:top w:val="nil"/>
              <w:left w:val="nil"/>
              <w:bottom w:val="single" w:sz="8" w:space="0" w:color="auto"/>
              <w:right w:val="single" w:sz="8" w:space="0" w:color="auto"/>
            </w:tcBorders>
            <w:shd w:val="clear" w:color="auto" w:fill="auto"/>
            <w:vAlign w:val="center"/>
            <w:hideMark/>
          </w:tcPr>
          <w:p w14:paraId="7A04F73F" w14:textId="75AF4097"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Number of opinions issued</w:t>
            </w:r>
          </w:p>
        </w:tc>
        <w:tc>
          <w:tcPr>
            <w:tcW w:w="2371" w:type="dxa"/>
            <w:tcBorders>
              <w:top w:val="nil"/>
              <w:left w:val="nil"/>
              <w:bottom w:val="single" w:sz="8" w:space="0" w:color="auto"/>
              <w:right w:val="single" w:sz="8" w:space="0" w:color="auto"/>
            </w:tcBorders>
            <w:shd w:val="clear" w:color="auto" w:fill="auto"/>
            <w:vAlign w:val="center"/>
            <w:hideMark/>
          </w:tcPr>
          <w:p w14:paraId="2B8E3352" w14:textId="486C9D75"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2022</w:t>
            </w:r>
          </w:p>
        </w:tc>
        <w:tc>
          <w:tcPr>
            <w:tcW w:w="5356" w:type="dxa"/>
            <w:tcBorders>
              <w:top w:val="nil"/>
              <w:left w:val="nil"/>
              <w:bottom w:val="single" w:sz="8" w:space="0" w:color="auto"/>
              <w:right w:val="single" w:sz="8" w:space="0" w:color="auto"/>
            </w:tcBorders>
            <w:shd w:val="clear" w:color="auto" w:fill="auto"/>
            <w:vAlign w:val="center"/>
            <w:hideMark/>
          </w:tcPr>
          <w:p w14:paraId="0953A397" w14:textId="26FCCADC"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lang w:val="en-GB"/>
              </w:rPr>
              <w:t>Random checks of the compliance of recruitment advertisements published on the EURAXESS website, monitoring selected advertisements published on the University website, and participation in selected recruitment proceedings.</w:t>
            </w:r>
          </w:p>
        </w:tc>
      </w:tr>
      <w:tr w:rsidR="0035574A" w:rsidRPr="00CF74F2" w14:paraId="653E28AC" w14:textId="77777777" w:rsidTr="00FF6CDE">
        <w:trPr>
          <w:trHeight w:val="36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62C2808F" w14:textId="77777777" w:rsidR="0035574A" w:rsidRPr="00AF54EC" w:rsidRDefault="0035574A" w:rsidP="0035574A">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II.3</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CAE5AF" w14:textId="10BCDAFD"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14. Selection (Code)</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DA4E74" w14:textId="385ECB1E" w:rsidR="0035574A" w:rsidRPr="00AF54EC" w:rsidRDefault="0035574A" w:rsidP="0035574A">
            <w:pPr>
              <w:spacing w:after="0" w:line="240" w:lineRule="auto"/>
              <w:rPr>
                <w:rFonts w:ascii="Calibri" w:eastAsia="Times New Roman" w:hAnsi="Calibri" w:cs="Calibri"/>
                <w:lang w:val="en-GB" w:eastAsia="pl-PL"/>
              </w:rPr>
            </w:pPr>
            <w:r w:rsidRPr="00AF54EC">
              <w:rPr>
                <w:lang w:val="en-GB"/>
              </w:rPr>
              <w:t xml:space="preserve">To provide </w:t>
            </w:r>
            <w:proofErr w:type="spellStart"/>
            <w:r w:rsidRPr="00AF54EC">
              <w:rPr>
                <w:lang w:val="en-GB"/>
              </w:rPr>
              <w:t>counseling</w:t>
            </w:r>
            <w:proofErr w:type="spellEnd"/>
            <w:r w:rsidRPr="00AF54EC">
              <w:rPr>
                <w:lang w:val="en-GB"/>
              </w:rPr>
              <w:t xml:space="preserve"> on the diagnosis of personality and competence predispositions of job candidates by conducting competence and psychological tests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096DA" w14:textId="6B0FA801"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Careers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A7F373" w14:textId="1897046F"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 xml:space="preserve">Number of supported recruitment processes </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35CD7" w14:textId="1836CC4D" w:rsidR="0035574A" w:rsidRPr="00AF54EC" w:rsidRDefault="0035574A" w:rsidP="0035574A">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7D8AAF" w14:textId="7B66C9C7" w:rsidR="0035574A" w:rsidRPr="00AF54EC" w:rsidRDefault="0035574A" w:rsidP="0035574A">
            <w:pPr>
              <w:spacing w:after="0" w:line="240" w:lineRule="auto"/>
              <w:jc w:val="both"/>
              <w:rPr>
                <w:rFonts w:ascii="Calibri" w:eastAsia="Times New Roman" w:hAnsi="Calibri" w:cs="Calibri"/>
                <w:color w:val="000000"/>
                <w:lang w:val="en-GB" w:eastAsia="pl-PL"/>
              </w:rPr>
            </w:pPr>
            <w:r w:rsidRPr="00AF54EC">
              <w:rPr>
                <w:lang w:val="en-GB"/>
              </w:rPr>
              <w:t>Careers Office, a specialised unit of the central administration, provides support for the university selection committees in assessing the psycho-social profiles of job applicants. The support involves: administering aptitude tests for all job candidates; reviewing CVs; drawing up reports; participating in job interviews; drawing up recommendations concerning the suitability of job applicants for particular positions and teams.</w:t>
            </w:r>
          </w:p>
        </w:tc>
      </w:tr>
      <w:tr w:rsidR="00C04450" w:rsidRPr="00CF74F2" w14:paraId="5EA9C124" w14:textId="77777777" w:rsidTr="0049502C">
        <w:trPr>
          <w:trHeight w:val="4890"/>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1CAB4B2B"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II.4</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726F6DAF" w14:textId="4F026B94"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14. Selection (Code)</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37CFD433" w14:textId="4F9627F2"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To train  selection committees on recruitment processes </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3B0C8BA8" w14:textId="0EFDB64A"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Careers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6B5691C8" w14:textId="76C20C9A"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Number of training courses provided  </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7323991E" w14:textId="46D9106E"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1EEBAF73" w14:textId="77777777" w:rsidR="00C04450" w:rsidRPr="00AF54EC" w:rsidRDefault="00C04450" w:rsidP="00C04450">
            <w:p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action aims to develop staff competence in the field </w:t>
            </w:r>
          </w:p>
          <w:p w14:paraId="52B6A2FF" w14:textId="77777777" w:rsidR="00C04450" w:rsidRPr="00AF54EC" w:rsidRDefault="00C04450" w:rsidP="00C04450">
            <w:p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in preparing and conducting recruitment processes. </w:t>
            </w:r>
          </w:p>
          <w:p w14:paraId="4397F0C5" w14:textId="77777777" w:rsidR="00C04450" w:rsidRPr="00AF54EC" w:rsidRDefault="00C04450" w:rsidP="00C04450">
            <w:pPr>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training will include: </w:t>
            </w:r>
          </w:p>
          <w:p w14:paraId="36FC9121" w14:textId="77777777"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determining </w:t>
            </w:r>
            <w:r w:rsidRPr="00AF54EC">
              <w:rPr>
                <w:lang w:val="en-GB"/>
              </w:rPr>
              <w:t>needs for jobs and people</w:t>
            </w:r>
            <w:r w:rsidRPr="00AF54EC">
              <w:rPr>
                <w:rFonts w:ascii="Calibri" w:eastAsia="Times New Roman" w:hAnsi="Calibri" w:cs="Calibri"/>
                <w:color w:val="000000"/>
                <w:lang w:val="en-GB" w:eastAsia="pl-PL"/>
              </w:rPr>
              <w:t xml:space="preserve"> </w:t>
            </w:r>
          </w:p>
          <w:p w14:paraId="1258777B" w14:textId="77777777"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identifying qualification and personality profiles needed for each position</w:t>
            </w:r>
          </w:p>
          <w:p w14:paraId="66EC7103" w14:textId="77777777"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analysis of the application documents</w:t>
            </w:r>
          </w:p>
          <w:p w14:paraId="17B87D4C" w14:textId="77777777"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methods and tools for conducting the interview </w:t>
            </w:r>
          </w:p>
          <w:p w14:paraId="1BAB9418" w14:textId="0FE6F39C"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methods of practical verification of the applicant's skills, assessment </w:t>
            </w:r>
            <w:r w:rsidR="00CC16EF" w:rsidRPr="00AF54EC">
              <w:rPr>
                <w:rFonts w:ascii="Calibri" w:eastAsia="Times New Roman" w:hAnsi="Calibri" w:cs="Calibri"/>
                <w:color w:val="000000"/>
                <w:lang w:val="en-GB" w:eastAsia="pl-PL"/>
              </w:rPr>
              <w:t>centre</w:t>
            </w:r>
            <w:r w:rsidRPr="00AF54EC">
              <w:rPr>
                <w:rFonts w:ascii="Calibri" w:eastAsia="Times New Roman" w:hAnsi="Calibri" w:cs="Calibri"/>
                <w:color w:val="000000"/>
                <w:lang w:val="en-GB" w:eastAsia="pl-PL"/>
              </w:rPr>
              <w:t xml:space="preserve"> techniques</w:t>
            </w:r>
          </w:p>
          <w:p w14:paraId="205D1B23" w14:textId="77777777"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providing the applicant with feedback</w:t>
            </w:r>
          </w:p>
          <w:p w14:paraId="2EE6CCF5" w14:textId="7C05D15C" w:rsidR="00C04450" w:rsidRPr="00AF54EC" w:rsidRDefault="00C04450" w:rsidP="00C04450">
            <w:pPr>
              <w:pStyle w:val="Akapitzlist"/>
              <w:numPr>
                <w:ilvl w:val="0"/>
                <w:numId w:val="2"/>
              </w:numPr>
              <w:spacing w:after="0"/>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aspects of formal preparation of the selection process</w:t>
            </w:r>
            <w:r w:rsidR="00CF74F2">
              <w:rPr>
                <w:rFonts w:ascii="Calibri" w:eastAsia="Times New Roman" w:hAnsi="Calibri" w:cs="Calibri"/>
                <w:color w:val="000000"/>
                <w:lang w:val="en-GB" w:eastAsia="pl-PL"/>
              </w:rPr>
              <w:t>.</w:t>
            </w:r>
          </w:p>
          <w:p w14:paraId="37B610A8" w14:textId="10581A0A" w:rsidR="00C04450" w:rsidRPr="00AF54EC" w:rsidRDefault="00C04450" w:rsidP="00C04450">
            <w:pPr>
              <w:spacing w:after="0" w:line="240" w:lineRule="auto"/>
              <w:jc w:val="both"/>
              <w:rPr>
                <w:rFonts w:ascii="Calibri" w:eastAsia="Times New Roman" w:hAnsi="Calibri" w:cs="Calibri"/>
                <w:color w:val="000000"/>
                <w:lang w:val="en-GB" w:eastAsia="pl-PL"/>
              </w:rPr>
            </w:pPr>
          </w:p>
        </w:tc>
      </w:tr>
      <w:tr w:rsidR="00213038" w:rsidRPr="00CF74F2" w14:paraId="4C6DF0AC" w14:textId="77777777" w:rsidTr="00527DB3">
        <w:trPr>
          <w:trHeight w:val="300"/>
        </w:trPr>
        <w:tc>
          <w:tcPr>
            <w:tcW w:w="16292" w:type="dxa"/>
            <w:gridSpan w:val="7"/>
            <w:tcBorders>
              <w:top w:val="single" w:sz="8" w:space="0" w:color="auto"/>
              <w:left w:val="single" w:sz="8" w:space="0" w:color="auto"/>
              <w:bottom w:val="single" w:sz="4" w:space="0" w:color="auto"/>
              <w:right w:val="single" w:sz="8" w:space="0" w:color="000000"/>
            </w:tcBorders>
            <w:shd w:val="clear" w:color="000000" w:fill="B4C6E7"/>
            <w:vAlign w:val="center"/>
            <w:hideMark/>
          </w:tcPr>
          <w:p w14:paraId="31636030" w14:textId="1D54C442" w:rsidR="00213038" w:rsidRPr="00AF54EC" w:rsidRDefault="00213038" w:rsidP="005900E0">
            <w:pPr>
              <w:spacing w:after="0" w:line="240" w:lineRule="auto"/>
              <w:jc w:val="center"/>
              <w:rPr>
                <w:rFonts w:ascii="Calibri" w:eastAsia="Times New Roman" w:hAnsi="Calibri" w:cs="Calibri"/>
                <w:b/>
                <w:bCs/>
                <w:color w:val="000000"/>
                <w:lang w:val="en-GB" w:eastAsia="pl-PL"/>
              </w:rPr>
            </w:pPr>
            <w:r w:rsidRPr="00AF54EC">
              <w:rPr>
                <w:rFonts w:ascii="Calibri" w:eastAsia="Times New Roman" w:hAnsi="Calibri" w:cs="Calibri"/>
                <w:b/>
                <w:bCs/>
                <w:color w:val="000000"/>
                <w:lang w:val="en-GB" w:eastAsia="pl-PL"/>
              </w:rPr>
              <w:t xml:space="preserve">III. </w:t>
            </w:r>
            <w:r w:rsidR="00C04450" w:rsidRPr="00AF54EC">
              <w:rPr>
                <w:rFonts w:ascii="Calibri" w:eastAsia="Times New Roman" w:hAnsi="Calibri" w:cs="Calibri"/>
                <w:b/>
                <w:bCs/>
                <w:color w:val="000000"/>
                <w:lang w:val="en-GB" w:eastAsia="pl-PL"/>
              </w:rPr>
              <w:t xml:space="preserve"> Working Conditions and Social Security</w:t>
            </w:r>
          </w:p>
        </w:tc>
      </w:tr>
      <w:tr w:rsidR="00C04450" w:rsidRPr="00CF74F2" w14:paraId="7C7F4584" w14:textId="77777777" w:rsidTr="0049502C">
        <w:trPr>
          <w:trHeight w:val="18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0B6CB28"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III.1</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F9C7ABF" w14:textId="7CE49FB0"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23. Research environment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1DDA96" w14:textId="4998386E"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Personalized support for doctoral candidates and early stage researchers in applying for research grants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57873B" w14:textId="4B37240C" w:rsidR="00C04450" w:rsidRPr="00AF54EC" w:rsidRDefault="00FF6CDE"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Project Services</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EBBB00" w14:textId="4C48363E"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Roll-out of grant application   consultancy (personal consultant)</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71BD4C" w14:textId="3D21D806"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7805B2" w14:textId="1B0786FA"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action aims to provide personalized advice to early stage researchers on grant applications. The consultant assists the researcher throughout process, from drafting the application to submitting it.</w:t>
            </w:r>
          </w:p>
        </w:tc>
      </w:tr>
      <w:tr w:rsidR="00C04450" w:rsidRPr="00CF74F2" w14:paraId="55E0B562" w14:textId="77777777" w:rsidTr="00FF6CDE">
        <w:trPr>
          <w:trHeight w:val="2899"/>
        </w:trPr>
        <w:tc>
          <w:tcPr>
            <w:tcW w:w="585" w:type="dxa"/>
            <w:vMerge w:val="restart"/>
            <w:tcBorders>
              <w:top w:val="single" w:sz="4" w:space="0" w:color="auto"/>
              <w:left w:val="single" w:sz="8" w:space="0" w:color="auto"/>
              <w:bottom w:val="single" w:sz="8" w:space="0" w:color="000000"/>
              <w:right w:val="single" w:sz="8" w:space="0" w:color="auto"/>
            </w:tcBorders>
            <w:shd w:val="clear" w:color="000000" w:fill="BFBFBF"/>
            <w:vAlign w:val="center"/>
            <w:hideMark/>
          </w:tcPr>
          <w:p w14:paraId="399AE093"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III.2</w:t>
            </w:r>
          </w:p>
        </w:tc>
        <w:tc>
          <w:tcPr>
            <w:tcW w:w="209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5A6388E" w14:textId="4AA7209D"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24. Working conditions</w:t>
            </w:r>
          </w:p>
        </w:tc>
        <w:tc>
          <w:tcPr>
            <w:tcW w:w="209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4D44832" w14:textId="07856605"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To develop an onboarding process</w:t>
            </w:r>
          </w:p>
        </w:tc>
        <w:tc>
          <w:tcPr>
            <w:tcW w:w="177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EF66483" w14:textId="317C9FC0" w:rsidR="00FA18CE" w:rsidRDefault="00FA18CE" w:rsidP="00FA18CE">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p w14:paraId="6EE2913C" w14:textId="60A25DE1" w:rsidR="001C6632" w:rsidRPr="00AF54EC" w:rsidRDefault="001C6632" w:rsidP="00C04450">
            <w:pPr>
              <w:spacing w:after="0" w:line="240" w:lineRule="auto"/>
              <w:rPr>
                <w:rFonts w:ascii="Calibri" w:eastAsia="Times New Roman" w:hAnsi="Calibri" w:cs="Calibri"/>
                <w:color w:val="000000"/>
                <w:lang w:val="en-GB" w:eastAsia="pl-PL"/>
              </w:rPr>
            </w:pPr>
          </w:p>
        </w:tc>
        <w:tc>
          <w:tcPr>
            <w:tcW w:w="2012" w:type="dxa"/>
            <w:tcBorders>
              <w:top w:val="single" w:sz="4" w:space="0" w:color="auto"/>
              <w:left w:val="nil"/>
              <w:bottom w:val="single" w:sz="8" w:space="0" w:color="auto"/>
              <w:right w:val="single" w:sz="8" w:space="0" w:color="auto"/>
            </w:tcBorders>
            <w:shd w:val="clear" w:color="auto" w:fill="auto"/>
            <w:vAlign w:val="center"/>
            <w:hideMark/>
          </w:tcPr>
          <w:p w14:paraId="04EA9A4B" w14:textId="4E0C4982"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Procedure</w:t>
            </w:r>
          </w:p>
        </w:tc>
        <w:tc>
          <w:tcPr>
            <w:tcW w:w="237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72DED83" w14:textId="152436C3" w:rsidR="00C04450" w:rsidRPr="00AF54EC" w:rsidRDefault="00C04450" w:rsidP="00FA18CE">
            <w:pPr>
              <w:spacing w:after="0" w:line="240" w:lineRule="auto"/>
              <w:jc w:val="both"/>
              <w:rPr>
                <w:rFonts w:ascii="Calibri" w:eastAsia="Times New Roman" w:hAnsi="Calibri" w:cs="Calibri"/>
                <w:color w:val="000000"/>
                <w:lang w:val="en-GB" w:eastAsia="pl-PL"/>
              </w:rPr>
            </w:pPr>
            <w:r w:rsidRPr="00AF54EC">
              <w:rPr>
                <w:lang w:val="en-GB"/>
              </w:rPr>
              <w:t>2022-2024</w:t>
            </w:r>
          </w:p>
        </w:tc>
        <w:tc>
          <w:tcPr>
            <w:tcW w:w="5356"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021BE1A9" w14:textId="77777777" w:rsidR="00257DE5" w:rsidRPr="00257DE5" w:rsidRDefault="00257DE5" w:rsidP="00257DE5">
            <w:pPr>
              <w:spacing w:after="0" w:line="240" w:lineRule="auto"/>
              <w:jc w:val="both"/>
              <w:rPr>
                <w:lang w:val="en-US"/>
              </w:rPr>
            </w:pPr>
            <w:bookmarkStart w:id="0" w:name="_Hlk91931721"/>
            <w:r w:rsidRPr="00257DE5">
              <w:rPr>
                <w:lang w:val="en-US"/>
              </w:rPr>
              <w:t xml:space="preserve">To develop an onboarding procedure for newly appointed staff which will specify the tasks of the immediate supervisors and Human Capital Management Center regarding: preparation of the workplace, tools and resources including login details, administrative and </w:t>
            </w:r>
            <w:proofErr w:type="spellStart"/>
            <w:r w:rsidRPr="00257DE5">
              <w:rPr>
                <w:lang w:val="en-US"/>
              </w:rPr>
              <w:t>organisational</w:t>
            </w:r>
            <w:proofErr w:type="spellEnd"/>
            <w:r w:rsidRPr="00257DE5">
              <w:rPr>
                <w:lang w:val="en-US"/>
              </w:rPr>
              <w:t xml:space="preserve"> matters, e.g. walk through important procedures, rules, organizational culture, introduction to the team and job responsibilities</w:t>
            </w:r>
            <w:bookmarkEnd w:id="0"/>
            <w:r w:rsidRPr="00257DE5">
              <w:rPr>
                <w:lang w:val="en-US"/>
              </w:rPr>
              <w:t xml:space="preserve">. </w:t>
            </w:r>
          </w:p>
          <w:p w14:paraId="77FD9241" w14:textId="02ACCD9D" w:rsidR="00C04450" w:rsidRPr="00AF54EC" w:rsidRDefault="00257DE5" w:rsidP="00257DE5">
            <w:pPr>
              <w:spacing w:after="0" w:line="240" w:lineRule="auto"/>
              <w:jc w:val="both"/>
              <w:rPr>
                <w:rFonts w:ascii="Calibri" w:eastAsia="Times New Roman" w:hAnsi="Calibri" w:cs="Calibri"/>
                <w:color w:val="000000"/>
                <w:lang w:val="en-GB" w:eastAsia="pl-PL"/>
              </w:rPr>
            </w:pPr>
            <w:r w:rsidRPr="00257DE5">
              <w:rPr>
                <w:rFonts w:ascii="Calibri" w:eastAsia="Times New Roman" w:hAnsi="Calibri" w:cs="Calibri"/>
                <w:color w:val="000000"/>
                <w:lang w:val="en-US" w:eastAsia="pl-PL"/>
              </w:rPr>
              <w:t xml:space="preserve">Development of the Resource Book for new staff joining Lodz University of Technology, containing all the necessary information relevant to working at the University, e.g. work </w:t>
            </w:r>
            <w:proofErr w:type="spellStart"/>
            <w:r w:rsidRPr="00257DE5">
              <w:rPr>
                <w:rFonts w:ascii="Calibri" w:eastAsia="Times New Roman" w:hAnsi="Calibri" w:cs="Calibri"/>
                <w:color w:val="000000"/>
                <w:lang w:val="en-US" w:eastAsia="pl-PL"/>
              </w:rPr>
              <w:t>organisation</w:t>
            </w:r>
            <w:proofErr w:type="spellEnd"/>
            <w:r w:rsidRPr="00257DE5">
              <w:rPr>
                <w:rFonts w:ascii="Calibri" w:eastAsia="Times New Roman" w:hAnsi="Calibri" w:cs="Calibri"/>
                <w:color w:val="000000"/>
                <w:lang w:val="en-US" w:eastAsia="pl-PL"/>
              </w:rPr>
              <w:t xml:space="preserve">, human resources information, benefits policy, document flow, use of the </w:t>
            </w:r>
            <w:proofErr w:type="spellStart"/>
            <w:r w:rsidRPr="00257DE5">
              <w:rPr>
                <w:rFonts w:ascii="Calibri" w:eastAsia="Times New Roman" w:hAnsi="Calibri" w:cs="Calibri"/>
                <w:color w:val="000000"/>
                <w:lang w:val="en-US" w:eastAsia="pl-PL"/>
              </w:rPr>
              <w:t>Wikamp</w:t>
            </w:r>
            <w:proofErr w:type="spellEnd"/>
            <w:r w:rsidRPr="00257DE5">
              <w:rPr>
                <w:rFonts w:ascii="Calibri" w:eastAsia="Times New Roman" w:hAnsi="Calibri" w:cs="Calibri"/>
                <w:color w:val="000000"/>
                <w:lang w:val="en-US" w:eastAsia="pl-PL"/>
              </w:rPr>
              <w:t xml:space="preserve"> Portal, and other useful information. The handbook will be sent to the e-mail boxes of newly employed staff and will be available to all staff on </w:t>
            </w:r>
            <w:proofErr w:type="spellStart"/>
            <w:r w:rsidRPr="00257DE5">
              <w:rPr>
                <w:rFonts w:ascii="Calibri" w:eastAsia="Times New Roman" w:hAnsi="Calibri" w:cs="Calibri"/>
                <w:color w:val="000000"/>
                <w:lang w:val="en-US" w:eastAsia="pl-PL"/>
              </w:rPr>
              <w:t>Wikamp</w:t>
            </w:r>
            <w:proofErr w:type="spellEnd"/>
            <w:r w:rsidRPr="00257DE5">
              <w:rPr>
                <w:rFonts w:ascii="Calibri" w:eastAsia="Times New Roman" w:hAnsi="Calibri" w:cs="Calibri"/>
                <w:color w:val="000000"/>
                <w:lang w:val="en-US" w:eastAsia="pl-PL"/>
              </w:rPr>
              <w:t>.</w:t>
            </w:r>
          </w:p>
        </w:tc>
      </w:tr>
      <w:tr w:rsidR="00213038" w:rsidRPr="00CF74F2" w14:paraId="4174A186" w14:textId="77777777" w:rsidTr="0049502C">
        <w:trPr>
          <w:trHeight w:val="2802"/>
        </w:trPr>
        <w:tc>
          <w:tcPr>
            <w:tcW w:w="585" w:type="dxa"/>
            <w:vMerge/>
            <w:tcBorders>
              <w:top w:val="single" w:sz="8" w:space="0" w:color="auto"/>
              <w:left w:val="single" w:sz="8" w:space="0" w:color="auto"/>
              <w:bottom w:val="single" w:sz="8" w:space="0" w:color="auto"/>
              <w:right w:val="single" w:sz="8" w:space="0" w:color="auto"/>
            </w:tcBorders>
            <w:vAlign w:val="center"/>
            <w:hideMark/>
          </w:tcPr>
          <w:p w14:paraId="289B4E7D"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9" w:type="dxa"/>
            <w:vMerge/>
            <w:tcBorders>
              <w:top w:val="single" w:sz="8" w:space="0" w:color="auto"/>
              <w:left w:val="single" w:sz="8" w:space="0" w:color="auto"/>
              <w:bottom w:val="single" w:sz="8" w:space="0" w:color="auto"/>
              <w:right w:val="single" w:sz="8" w:space="0" w:color="auto"/>
            </w:tcBorders>
            <w:vAlign w:val="center"/>
            <w:hideMark/>
          </w:tcPr>
          <w:p w14:paraId="691EDBBD"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6" w:type="dxa"/>
            <w:vMerge/>
            <w:tcBorders>
              <w:top w:val="single" w:sz="8" w:space="0" w:color="auto"/>
              <w:left w:val="single" w:sz="8" w:space="0" w:color="auto"/>
              <w:bottom w:val="single" w:sz="8" w:space="0" w:color="auto"/>
              <w:right w:val="single" w:sz="8" w:space="0" w:color="auto"/>
            </w:tcBorders>
            <w:vAlign w:val="center"/>
            <w:hideMark/>
          </w:tcPr>
          <w:p w14:paraId="5FE0C2B1"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1773" w:type="dxa"/>
            <w:vMerge/>
            <w:tcBorders>
              <w:top w:val="single" w:sz="8" w:space="0" w:color="auto"/>
              <w:left w:val="single" w:sz="8" w:space="0" w:color="auto"/>
              <w:bottom w:val="single" w:sz="8" w:space="0" w:color="auto"/>
              <w:right w:val="single" w:sz="8" w:space="0" w:color="auto"/>
            </w:tcBorders>
            <w:vAlign w:val="center"/>
            <w:hideMark/>
          </w:tcPr>
          <w:p w14:paraId="4C99E2C2"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12" w:type="dxa"/>
            <w:tcBorders>
              <w:top w:val="nil"/>
              <w:left w:val="nil"/>
              <w:bottom w:val="single" w:sz="8" w:space="0" w:color="auto"/>
              <w:right w:val="single" w:sz="8" w:space="0" w:color="auto"/>
            </w:tcBorders>
            <w:shd w:val="clear" w:color="auto" w:fill="auto"/>
            <w:vAlign w:val="center"/>
            <w:hideMark/>
          </w:tcPr>
          <w:p w14:paraId="469CF9E1" w14:textId="516B8C3E" w:rsidR="00213038" w:rsidRPr="00AF54EC" w:rsidRDefault="00B7629C" w:rsidP="00776031">
            <w:pPr>
              <w:spacing w:after="0" w:line="240" w:lineRule="auto"/>
              <w:rPr>
                <w:rFonts w:ascii="Calibri" w:eastAsia="Times New Roman" w:hAnsi="Calibri" w:cs="Calibri"/>
                <w:color w:val="000000"/>
                <w:lang w:val="en-GB" w:eastAsia="pl-PL"/>
              </w:rPr>
            </w:pPr>
            <w:r w:rsidRPr="00B7629C">
              <w:rPr>
                <w:rFonts w:ascii="Calibri" w:eastAsia="Times New Roman" w:hAnsi="Calibri" w:cs="Calibri"/>
                <w:color w:val="000000"/>
                <w:lang w:val="en-GB" w:eastAsia="pl-PL"/>
              </w:rPr>
              <w:t>Information</w:t>
            </w:r>
            <w:r w:rsidR="00C04450" w:rsidRPr="00AF54EC">
              <w:rPr>
                <w:rFonts w:ascii="Calibri" w:eastAsia="Times New Roman" w:hAnsi="Calibri" w:cs="Calibri"/>
                <w:color w:val="000000"/>
                <w:lang w:val="en-GB" w:eastAsia="pl-PL"/>
              </w:rPr>
              <w:t xml:space="preserve"> Book for new staff joining Lodz University of Technology</w:t>
            </w:r>
          </w:p>
        </w:tc>
        <w:tc>
          <w:tcPr>
            <w:tcW w:w="2371" w:type="dxa"/>
            <w:vMerge/>
            <w:tcBorders>
              <w:top w:val="single" w:sz="8" w:space="0" w:color="auto"/>
              <w:left w:val="single" w:sz="8" w:space="0" w:color="auto"/>
              <w:bottom w:val="single" w:sz="8" w:space="0" w:color="auto"/>
              <w:right w:val="single" w:sz="8" w:space="0" w:color="auto"/>
            </w:tcBorders>
            <w:vAlign w:val="center"/>
            <w:hideMark/>
          </w:tcPr>
          <w:p w14:paraId="0F2AF892"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5356" w:type="dxa"/>
            <w:vMerge/>
            <w:tcBorders>
              <w:top w:val="single" w:sz="8" w:space="0" w:color="auto"/>
              <w:left w:val="single" w:sz="8" w:space="0" w:color="auto"/>
              <w:bottom w:val="single" w:sz="8" w:space="0" w:color="auto"/>
              <w:right w:val="single" w:sz="8" w:space="0" w:color="auto"/>
            </w:tcBorders>
            <w:vAlign w:val="center"/>
            <w:hideMark/>
          </w:tcPr>
          <w:p w14:paraId="7E8EA59E" w14:textId="77777777" w:rsidR="00213038" w:rsidRPr="00AF54EC" w:rsidRDefault="00213038" w:rsidP="00213038">
            <w:pPr>
              <w:spacing w:after="0" w:line="240" w:lineRule="auto"/>
              <w:jc w:val="both"/>
              <w:rPr>
                <w:rFonts w:ascii="Calibri" w:eastAsia="Times New Roman" w:hAnsi="Calibri" w:cs="Calibri"/>
                <w:color w:val="000000"/>
                <w:lang w:val="en-GB" w:eastAsia="pl-PL"/>
              </w:rPr>
            </w:pPr>
          </w:p>
        </w:tc>
      </w:tr>
      <w:tr w:rsidR="00C04450" w:rsidRPr="00CF74F2" w14:paraId="1AA5A69C" w14:textId="77777777" w:rsidTr="0049502C">
        <w:trPr>
          <w:trHeight w:val="4602"/>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26566B9"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III.3</w:t>
            </w:r>
          </w:p>
        </w:tc>
        <w:tc>
          <w:tcPr>
            <w:tcW w:w="20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22A743" w14:textId="05B0C49C" w:rsidR="00C04450" w:rsidRPr="00AF54EC" w:rsidRDefault="00C04450" w:rsidP="00C04450">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24. Working conditions</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777B04D" w14:textId="06CBE9AB" w:rsidR="00C04450" w:rsidRPr="00AF54EC" w:rsidRDefault="00C04450" w:rsidP="00C04450">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Onboarding survey questionnaire for new staff</w:t>
            </w:r>
          </w:p>
        </w:tc>
        <w:tc>
          <w:tcPr>
            <w:tcW w:w="17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29DCF2" w14:textId="58A6EB33" w:rsidR="00B7629C" w:rsidRDefault="00B7629C" w:rsidP="00B7629C">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p w14:paraId="15B3304C" w14:textId="29332F38" w:rsidR="001C6632" w:rsidRPr="00AF54EC" w:rsidRDefault="001C6632" w:rsidP="00C04450">
            <w:pPr>
              <w:spacing w:after="0" w:line="240" w:lineRule="auto"/>
              <w:rPr>
                <w:rFonts w:ascii="Calibri" w:eastAsia="Times New Roman" w:hAnsi="Calibri" w:cs="Calibri"/>
                <w:lang w:val="en-GB" w:eastAsia="pl-PL"/>
              </w:rPr>
            </w:pP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50A18A" w14:textId="4B7D50E0" w:rsidR="00C04450" w:rsidRPr="00AF54EC" w:rsidRDefault="00C04450" w:rsidP="00C04450">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The extent to which the employee has become familiar with the TUL administrative and organisational system and with their responsibilities in the organisational unit in which they work). Survey results.</w:t>
            </w:r>
          </w:p>
        </w:tc>
        <w:tc>
          <w:tcPr>
            <w:tcW w:w="237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51DB03" w14:textId="57844772" w:rsidR="00C04450" w:rsidRPr="00AF54EC" w:rsidRDefault="00C04450" w:rsidP="00C04450">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4BDE8E" w14:textId="40664DE3" w:rsidR="00C04450" w:rsidRPr="00AF54EC" w:rsidRDefault="00C04450" w:rsidP="00C04450">
            <w:pPr>
              <w:spacing w:after="0" w:line="240" w:lineRule="auto"/>
              <w:jc w:val="both"/>
              <w:rPr>
                <w:rFonts w:ascii="Calibri" w:eastAsia="Times New Roman" w:hAnsi="Calibri" w:cs="Calibri"/>
                <w:lang w:val="en-GB" w:eastAsia="pl-PL"/>
              </w:rPr>
            </w:pPr>
            <w:r w:rsidRPr="00AF54EC">
              <w:rPr>
                <w:rFonts w:ascii="Calibri" w:eastAsia="Times New Roman" w:hAnsi="Calibri" w:cs="Calibri"/>
                <w:lang w:val="en-GB" w:eastAsia="pl-PL"/>
              </w:rPr>
              <w:t>The purpose of this action is to monitor whether new staff members are inducted into the 'system' of work at TUL and into their roles. The goal is to verify the effectiveness of the established onboarding procedures, from the recruitment process itself, through compliance with all the formalities laid down in applicable laws and the University's internal regulations, to introducing new staff members to the University's IT systems, interfaces, the website, the campus, etc. The survey should allow for determining whether new staff members have understood in the six months since joining TUL what their responsibilities are, how they accountable for them, when they are accountable, what rights they have, and what 'benefits' they are entitled to (e.g. social benefits, etc.).</w:t>
            </w:r>
          </w:p>
        </w:tc>
      </w:tr>
      <w:tr w:rsidR="00C04450" w:rsidRPr="00CF74F2" w14:paraId="6984FC86" w14:textId="77777777" w:rsidTr="00FF6CDE">
        <w:trPr>
          <w:trHeight w:val="2400"/>
        </w:trPr>
        <w:tc>
          <w:tcPr>
            <w:tcW w:w="585"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5FF56AEA"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III.4</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65136E58" w14:textId="6DF9E1B9"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24. Working conditions</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357D0FEB" w14:textId="366D5A2C"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To develop an Exit Interview survey questionnaire</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19D87E12" w14:textId="25F61640" w:rsidR="001C6632" w:rsidRPr="00AF54EC" w:rsidRDefault="00B7629C" w:rsidP="00B7629C">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216927E5" w14:textId="5D76AD98"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Survey questionnaire</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5A2C4E3D" w14:textId="5831508E"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70C25006" w14:textId="7DB1ED26"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lang w:val="en-GB"/>
              </w:rPr>
              <w:t xml:space="preserve">The purpose of the questionnaire is to identify the reasons for the termination of the employment contract and implement any corrective actions that may be required. The questionnaire will be available both in paper and electronic formats, the latter via WIKAMP. Only the rector of TUL and authorized </w:t>
            </w:r>
            <w:r w:rsidR="0005282E" w:rsidRPr="00854BAE">
              <w:rPr>
                <w:rFonts w:ascii="Calibri" w:eastAsia="Times New Roman" w:hAnsi="Calibri" w:cs="Calibri"/>
                <w:color w:val="000000"/>
                <w:lang w:val="en-GB" w:eastAsia="pl-PL"/>
              </w:rPr>
              <w:t xml:space="preserve"> Human Capital Management Centre</w:t>
            </w:r>
            <w:r w:rsidR="0005282E">
              <w:rPr>
                <w:rFonts w:ascii="Calibri" w:eastAsia="Times New Roman" w:hAnsi="Calibri" w:cs="Calibri"/>
                <w:color w:val="000000"/>
                <w:lang w:val="en-GB" w:eastAsia="pl-PL"/>
              </w:rPr>
              <w:t xml:space="preserve"> </w:t>
            </w:r>
            <w:r w:rsidRPr="00AF54EC">
              <w:rPr>
                <w:lang w:val="en-GB"/>
              </w:rPr>
              <w:t>staff will have access to the responses.</w:t>
            </w:r>
          </w:p>
        </w:tc>
      </w:tr>
      <w:tr w:rsidR="00C04450" w:rsidRPr="00CF74F2" w14:paraId="200850CF" w14:textId="77777777" w:rsidTr="00FF6CDE">
        <w:trPr>
          <w:trHeight w:val="72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2DD894BF" w14:textId="77777777" w:rsidR="00C04450" w:rsidRPr="00AF54EC" w:rsidRDefault="00C04450" w:rsidP="00C04450">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III.5</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CF24B9" w14:textId="652B2DA6"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26. Funding and salaries</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DC0B607" w14:textId="75AA2B48"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To reward research excellence of the academic staff, doctoral candidates, and students of Lodz University of Technology under the ‘Excellence Initiative - Research University’ (IDUB) programme</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142F2B" w14:textId="349FF229" w:rsidR="001C6632" w:rsidRPr="00AF54EC" w:rsidRDefault="001C6632" w:rsidP="00C04450">
            <w:pPr>
              <w:spacing w:after="0" w:line="240" w:lineRule="auto"/>
              <w:rPr>
                <w:rFonts w:ascii="Calibri" w:eastAsia="Times New Roman" w:hAnsi="Calibri" w:cs="Calibri"/>
                <w:color w:val="000000"/>
                <w:lang w:val="en-GB" w:eastAsia="pl-PL"/>
              </w:rPr>
            </w:pPr>
            <w:r w:rsidRPr="001C6632">
              <w:rPr>
                <w:rFonts w:ascii="Calibri" w:eastAsia="Times New Roman" w:hAnsi="Calibri" w:cs="Calibri"/>
                <w:color w:val="000000"/>
                <w:lang w:val="en-GB" w:eastAsia="pl-PL"/>
              </w:rPr>
              <w:t>University Office for Science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624B94" w14:textId="2FE27230"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Number of rewarded research achievements</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FA4721" w14:textId="3D7BB30C" w:rsidR="00C04450" w:rsidRPr="00AF54EC" w:rsidRDefault="00C04450" w:rsidP="00C04450">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F84CF4" w14:textId="77777777" w:rsidR="00C04450" w:rsidRPr="00AF54EC" w:rsidRDefault="00C04450" w:rsidP="00C04450">
            <w:pPr>
              <w:spacing w:after="0" w:line="240" w:lineRule="auto"/>
              <w:jc w:val="both"/>
              <w:rPr>
                <w:lang w:val="en-GB"/>
              </w:rPr>
            </w:pPr>
            <w:r w:rsidRPr="00AF54EC">
              <w:rPr>
                <w:lang w:val="en-GB"/>
              </w:rPr>
              <w:t>Rewards are granted for the following research achievements in a calendar year:</w:t>
            </w:r>
          </w:p>
          <w:p w14:paraId="32ACF699"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publications in the best journals included on the Ministry's list of scientific journals current at the moment of the publication of the achievement, and peer-reviewed international conference proceedings;</w:t>
            </w:r>
          </w:p>
          <w:p w14:paraId="307D09C6"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conference papers in the best peer-reviewed international conference proceedings included on the Ministry's list of scientific journals current, at the time of the publication of the achievement;</w:t>
            </w:r>
          </w:p>
          <w:p w14:paraId="47ECC1A1"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research monographs or chapters in peer-reviewed research monographs published in level II publications included on the Ministry's list of publications publishing peer-reviewed scientific monographs, current at the moment of the publication of the achievement;</w:t>
            </w:r>
          </w:p>
          <w:p w14:paraId="60CD0904"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national and international patents;</w:t>
            </w:r>
          </w:p>
          <w:p w14:paraId="34DFBBE4"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research grants.</w:t>
            </w:r>
          </w:p>
          <w:p w14:paraId="0637E0B7" w14:textId="77777777"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Further information about IDUB provided at</w:t>
            </w:r>
          </w:p>
          <w:p w14:paraId="4F879913" w14:textId="195522A9" w:rsidR="00C04450" w:rsidRPr="00AF54EC" w:rsidRDefault="00C04450" w:rsidP="00C04450">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 </w:t>
            </w:r>
            <w:r w:rsidRPr="00AF54EC">
              <w:rPr>
                <w:rFonts w:ascii="Calibri" w:eastAsia="Times New Roman" w:hAnsi="Calibri" w:cs="Calibri"/>
                <w:lang w:val="en-GB" w:eastAsia="pl-PL"/>
              </w:rPr>
              <w:t>https://konstytucjadlanauki.gov.pl/inicjatywa-doskonalosci-uczelnia-badawcza</w:t>
            </w:r>
          </w:p>
        </w:tc>
      </w:tr>
      <w:tr w:rsidR="0043226E" w:rsidRPr="00CF74F2" w14:paraId="1E2C2DA3" w14:textId="77777777" w:rsidTr="00FF6CDE">
        <w:trPr>
          <w:trHeight w:val="1002"/>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7A10E60B" w14:textId="77777777" w:rsidR="0043226E" w:rsidRPr="00AF54EC" w:rsidRDefault="0043226E" w:rsidP="0043226E">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III.6</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755633D2" w14:textId="1E23209E"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27. Gender balance</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070EFB00" w14:textId="29A3FB9E"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TUL website to provide a webpage for the Gender Equality Plan</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64BFDE47" w14:textId="15283F3C"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Media and Communications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2FBF3B3C" w14:textId="07E9DA77"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Webpage</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565046C9" w14:textId="7DF81AB3"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4CEE17C9" w14:textId="77777777" w:rsidR="0043226E" w:rsidRPr="00AF54EC" w:rsidRDefault="0043226E" w:rsidP="0043226E">
            <w:pPr>
              <w:spacing w:after="0" w:line="240" w:lineRule="auto"/>
              <w:jc w:val="both"/>
              <w:rPr>
                <w:lang w:val="en-GB"/>
              </w:rPr>
            </w:pPr>
            <w:r w:rsidRPr="00AF54EC">
              <w:rPr>
                <w:lang w:val="en-GB"/>
              </w:rPr>
              <w:t xml:space="preserve">A platform for the publication of data and materials </w:t>
            </w:r>
          </w:p>
          <w:p w14:paraId="60B86CA0" w14:textId="42DD29B1" w:rsidR="0043226E" w:rsidRPr="00AF54EC" w:rsidRDefault="0043226E" w:rsidP="0043226E">
            <w:pPr>
              <w:spacing w:after="0" w:line="240" w:lineRule="auto"/>
              <w:jc w:val="both"/>
              <w:rPr>
                <w:rFonts w:ascii="Calibri" w:eastAsia="Times New Roman" w:hAnsi="Calibri" w:cs="Calibri"/>
                <w:color w:val="000000"/>
                <w:lang w:val="en-GB" w:eastAsia="pl-PL"/>
              </w:rPr>
            </w:pPr>
            <w:r w:rsidRPr="00AF54EC">
              <w:rPr>
                <w:lang w:val="en-GB"/>
              </w:rPr>
              <w:t>on activities towards gender balance carried out at TUL</w:t>
            </w:r>
            <w:r w:rsidR="0005282E">
              <w:rPr>
                <w:lang w:val="en-GB"/>
              </w:rPr>
              <w:t>.</w:t>
            </w:r>
          </w:p>
        </w:tc>
      </w:tr>
      <w:tr w:rsidR="0043226E" w:rsidRPr="00CF74F2" w14:paraId="3ACBAEB4" w14:textId="77777777" w:rsidTr="00FF6CDE">
        <w:trPr>
          <w:trHeight w:val="4002"/>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FDF9531" w14:textId="77777777" w:rsidR="0043226E" w:rsidRPr="00AF54EC" w:rsidRDefault="0043226E" w:rsidP="0043226E">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III.7</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6B3D82" w14:textId="16CF491A"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27. Gender balance</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2393B9" w14:textId="52D970F6"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To appoint gender equality representatives</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FE6DE79" w14:textId="624EE9DE" w:rsidR="001C6632" w:rsidRPr="00AF54EC" w:rsidRDefault="00B7629C" w:rsidP="00B7629C">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F19FA0" w14:textId="4CD58ED3"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Number of GE representatives</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858487" w14:textId="06E123B0"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2022</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3A3338" w14:textId="389991B8" w:rsidR="0043226E" w:rsidRPr="00AF54EC" w:rsidRDefault="0043226E" w:rsidP="0043226E">
            <w:pPr>
              <w:spacing w:after="0" w:line="240" w:lineRule="auto"/>
              <w:jc w:val="both"/>
              <w:rPr>
                <w:rFonts w:ascii="Calibri" w:eastAsia="Times New Roman" w:hAnsi="Calibri" w:cs="Calibri"/>
                <w:color w:val="000000"/>
                <w:lang w:val="en-GB" w:eastAsia="pl-PL"/>
              </w:rPr>
            </w:pPr>
            <w:r w:rsidRPr="00AF54EC">
              <w:rPr>
                <w:lang w:val="en-GB"/>
              </w:rPr>
              <w:t xml:space="preserve">The GE representatives will be responsible for, among other matters, liaising with the faculty/departmental leadership and collaboration with the designated staff member responsible for equality matters at </w:t>
            </w:r>
            <w:r w:rsidR="00B7629C" w:rsidRPr="00854BAE">
              <w:rPr>
                <w:rFonts w:ascii="Calibri" w:eastAsia="Times New Roman" w:hAnsi="Calibri" w:cs="Calibri"/>
                <w:color w:val="000000"/>
                <w:lang w:val="en-GB" w:eastAsia="pl-PL"/>
              </w:rPr>
              <w:t xml:space="preserve"> Human Capital Management Centre</w:t>
            </w:r>
            <w:r w:rsidRPr="00AF54EC">
              <w:rPr>
                <w:lang w:val="en-GB"/>
              </w:rPr>
              <w:t xml:space="preserve">, receiving complaints, collecting data, keeping a register of complaints, </w:t>
            </w:r>
            <w:r w:rsidR="00D145ED" w:rsidRPr="00AF54EC">
              <w:rPr>
                <w:lang w:val="en-GB"/>
              </w:rPr>
              <w:t>counselling</w:t>
            </w:r>
            <w:r w:rsidRPr="00AF54EC">
              <w:rPr>
                <w:lang w:val="en-GB"/>
              </w:rPr>
              <w:t>, resolving equality-related conflicts and making interventions, supporting male and female staff and students in conflict resolution, conducting explanatory proceedings regarding complaints, referring cases to the anti-discrimination, anti-mobbing and anti-harassment committee, and mediation.</w:t>
            </w:r>
          </w:p>
        </w:tc>
      </w:tr>
      <w:tr w:rsidR="0043226E" w:rsidRPr="00CF74F2" w14:paraId="6497F76A" w14:textId="77777777" w:rsidTr="00FF6CDE">
        <w:trPr>
          <w:trHeight w:val="3600"/>
        </w:trPr>
        <w:tc>
          <w:tcPr>
            <w:tcW w:w="585"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32FA148C" w14:textId="77777777" w:rsidR="0043226E" w:rsidRPr="00AF54EC" w:rsidRDefault="0043226E" w:rsidP="0043226E">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III.8</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3EF2FA94" w14:textId="7F2736BF"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27. Gender balance</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0A83D0B1" w14:textId="3AE80B91"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To institute a standing committee on anti-discrimination, anti-mobbing and anti-harassment</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7DE9D05E" w14:textId="77705AA9" w:rsidR="001C6632" w:rsidRPr="00AF54EC" w:rsidRDefault="00B7629C" w:rsidP="0043226E">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r w:rsidRPr="00AF54EC">
              <w:rPr>
                <w:rFonts w:ascii="Calibri" w:eastAsia="Times New Roman" w:hAnsi="Calibri" w:cs="Calibri"/>
                <w:color w:val="000000"/>
                <w:lang w:val="en-GB" w:eastAsia="pl-PL"/>
              </w:rPr>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0DEB9D96" w14:textId="5099FD6F"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Appointed committee</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23094BA6" w14:textId="144BA69E" w:rsidR="0043226E" w:rsidRPr="00AF54EC" w:rsidRDefault="0043226E" w:rsidP="0043226E">
            <w:pPr>
              <w:spacing w:after="0" w:line="240" w:lineRule="auto"/>
              <w:rPr>
                <w:rFonts w:ascii="Calibri" w:eastAsia="Times New Roman" w:hAnsi="Calibri" w:cs="Calibri"/>
                <w:color w:val="000000"/>
                <w:lang w:val="en-GB" w:eastAsia="pl-PL"/>
              </w:rPr>
            </w:pPr>
            <w:r w:rsidRPr="00AF54EC">
              <w:rPr>
                <w:lang w:val="en-GB"/>
              </w:rPr>
              <w:t>2022</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36A7F613" w14:textId="02814311" w:rsidR="0043226E" w:rsidRPr="00AF54EC" w:rsidRDefault="0043226E" w:rsidP="0043226E">
            <w:pPr>
              <w:spacing w:after="0" w:line="240" w:lineRule="auto"/>
              <w:jc w:val="both"/>
              <w:rPr>
                <w:rFonts w:ascii="Calibri" w:eastAsia="Times New Roman" w:hAnsi="Calibri" w:cs="Calibri"/>
                <w:color w:val="000000"/>
                <w:lang w:val="en-GB" w:eastAsia="pl-PL"/>
              </w:rPr>
            </w:pPr>
            <w:r w:rsidRPr="00AF54EC">
              <w:rPr>
                <w:lang w:val="en-GB"/>
              </w:rPr>
              <w:t>The Anti-Discrimination, Anti-Mobbing and Anti-Harassment Committee will have the following responsibilities, among others: to investigate complaints and allegations, to issue opinions on the case, to identify violations of the Regulations on Anti-Discrimination, Anti-Mobbing and Anti-Harassment, to request explanations and access to any relevant documents, in the event that a violation of the Regulations is ascertained, to report the matter to the Rector's College for a decision.</w:t>
            </w:r>
          </w:p>
        </w:tc>
      </w:tr>
      <w:tr w:rsidR="00E73CEF" w:rsidRPr="00CF74F2" w14:paraId="1AC6EE59" w14:textId="77777777" w:rsidTr="00FF6CDE">
        <w:trPr>
          <w:trHeight w:val="4200"/>
        </w:trPr>
        <w:tc>
          <w:tcPr>
            <w:tcW w:w="585" w:type="dxa"/>
            <w:tcBorders>
              <w:top w:val="single" w:sz="4" w:space="0" w:color="auto"/>
              <w:left w:val="single" w:sz="4" w:space="0" w:color="auto"/>
              <w:bottom w:val="single" w:sz="4" w:space="0" w:color="auto"/>
              <w:right w:val="single" w:sz="8" w:space="0" w:color="auto"/>
            </w:tcBorders>
            <w:shd w:val="clear" w:color="000000" w:fill="BFBFBF"/>
            <w:vAlign w:val="center"/>
            <w:hideMark/>
          </w:tcPr>
          <w:p w14:paraId="34FB8669"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III.9</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602903" w14:textId="2C451C9C"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28. Career development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21AC6" w14:textId="0161DD75"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To employ international experts in student-centred education and specific subject fields as co-teaching partners for the academic staff teaching in English, and international lecturers to teach at IFE</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59A1117" w14:textId="4E895E56" w:rsidR="00E73CEF" w:rsidRPr="00AF54EC" w:rsidRDefault="0005282E" w:rsidP="00E73CEF">
            <w:pPr>
              <w:spacing w:after="0" w:line="240" w:lineRule="auto"/>
              <w:rPr>
                <w:rFonts w:ascii="Calibri" w:eastAsia="Times New Roman" w:hAnsi="Calibri" w:cs="Calibri"/>
                <w:color w:val="000000"/>
                <w:lang w:val="en-GB" w:eastAsia="pl-PL"/>
              </w:rPr>
            </w:pPr>
            <w:r w:rsidRPr="00AF54EC">
              <w:rPr>
                <w:lang w:val="en-GB"/>
              </w:rPr>
              <w:t xml:space="preserve">International Cooperation </w:t>
            </w:r>
            <w:r>
              <w:t xml:space="preserve"> </w:t>
            </w:r>
            <w:r w:rsidRPr="0005282E">
              <w:rPr>
                <w:lang w:val="en-GB"/>
              </w:rPr>
              <w:t>Centre</w:t>
            </w:r>
            <w:r w:rsidR="009E662F">
              <w:rPr>
                <w:lang w:val="en-GB"/>
              </w:rPr>
              <w:t xml:space="preserve"> </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EA69A" w14:textId="010C52D5"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Number of international lecturers teaching classes</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59A368B" w14:textId="3075691B"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2022 - 2024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2B28BF" w14:textId="0490CD41" w:rsidR="00E73CEF" w:rsidRPr="00AF54EC" w:rsidRDefault="00E73CEF" w:rsidP="00E73CEF">
            <w:pPr>
              <w:spacing w:after="0" w:line="240" w:lineRule="auto"/>
              <w:jc w:val="both"/>
              <w:rPr>
                <w:rFonts w:ascii="Calibri" w:eastAsia="Times New Roman" w:hAnsi="Calibri" w:cs="Calibri"/>
                <w:color w:val="000000"/>
                <w:lang w:val="en-GB" w:eastAsia="pl-PL"/>
              </w:rPr>
            </w:pPr>
            <w:r w:rsidRPr="00AF54EC">
              <w:rPr>
                <w:lang w:val="en-GB"/>
              </w:rPr>
              <w:t xml:space="preserve">The aim of engaging experts is to rebuild existing modules according to the flipped classroom approach and to build strong new relationships between the stakeholders. The action is implemented under the Integrated University Programmes funded by </w:t>
            </w:r>
            <w:proofErr w:type="spellStart"/>
            <w:r w:rsidRPr="00AF54EC">
              <w:rPr>
                <w:lang w:val="en-GB"/>
              </w:rPr>
              <w:t>NCBiR</w:t>
            </w:r>
            <w:proofErr w:type="spellEnd"/>
            <w:r w:rsidRPr="00AF54EC">
              <w:rPr>
                <w:lang w:val="en-GB"/>
              </w:rPr>
              <w:t xml:space="preserve">. </w:t>
            </w:r>
          </w:p>
        </w:tc>
      </w:tr>
      <w:tr w:rsidR="00E73CEF" w:rsidRPr="00CF74F2" w14:paraId="25F344DA" w14:textId="77777777" w:rsidTr="00FF6CDE">
        <w:trPr>
          <w:trHeight w:val="3000"/>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5CB28055"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III.10</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46F218F7" w14:textId="48474F1D"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29. Value of mobility</w:t>
            </w:r>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50B49EA3" w14:textId="537E0C66"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To develop a procedure for undertaking research internships at research institutions as a mobility support mechanism - implementation and promotion of the procedure (continued action)</w:t>
            </w:r>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3C36A410" w14:textId="4B1AC166" w:rsidR="001C6632" w:rsidRPr="00AF54EC" w:rsidRDefault="00B7629C" w:rsidP="00E73CEF">
            <w:pPr>
              <w:spacing w:after="0" w:line="240" w:lineRule="auto"/>
              <w:rPr>
                <w:rFonts w:ascii="Calibri" w:eastAsia="Times New Roman" w:hAnsi="Calibri" w:cs="Calibri"/>
                <w:color w:val="000000"/>
                <w:lang w:val="en-GB" w:eastAsia="pl-PL"/>
              </w:rPr>
            </w:pPr>
            <w:r w:rsidRPr="00854BAE">
              <w:rPr>
                <w:rFonts w:ascii="Calibri" w:eastAsia="Times New Roman" w:hAnsi="Calibri" w:cs="Calibri"/>
                <w:color w:val="000000"/>
                <w:lang w:val="en-GB" w:eastAsia="pl-PL"/>
              </w:rPr>
              <w:t>Human Capital Management Centre</w:t>
            </w:r>
            <w:r w:rsidRPr="00AF54EC">
              <w:rPr>
                <w:rFonts w:ascii="Calibri" w:eastAsia="Times New Roman" w:hAnsi="Calibri" w:cs="Calibri"/>
                <w:color w:val="000000"/>
                <w:lang w:val="en-GB" w:eastAsia="pl-PL"/>
              </w:rPr>
              <w:t xml:space="preserve"> </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1740D348" w14:textId="3ACD450B"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Developed document</w:t>
            </w:r>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2CF61FFD" w14:textId="458D1443"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2022 - 2024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7935F48A" w14:textId="0957AC48" w:rsidR="00E73CEF" w:rsidRPr="00AF54EC" w:rsidRDefault="00E73CEF" w:rsidP="00E73CEF">
            <w:pPr>
              <w:spacing w:after="0" w:line="240" w:lineRule="auto"/>
              <w:jc w:val="both"/>
              <w:rPr>
                <w:rFonts w:ascii="Calibri" w:eastAsia="Times New Roman" w:hAnsi="Calibri" w:cs="Calibri"/>
                <w:color w:val="000000"/>
                <w:lang w:val="en-GB" w:eastAsia="pl-PL"/>
              </w:rPr>
            </w:pPr>
            <w:r w:rsidRPr="00AF54EC">
              <w:rPr>
                <w:lang w:val="en-GB"/>
              </w:rPr>
              <w:t>The goal of the action is to develop a mechanism facilitating taking up research internships at research institutions by research and research and teaching staff. The developed document will help university staff to embark on research internships, which will enhance their competence, knowledge, and capacity to work in a diverse environment and conduct research of the highest quality.</w:t>
            </w:r>
          </w:p>
        </w:tc>
      </w:tr>
      <w:tr w:rsidR="00E73CEF" w:rsidRPr="00CF74F2" w14:paraId="434EED48" w14:textId="77777777" w:rsidTr="0049502C">
        <w:trPr>
          <w:trHeight w:val="300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00A51646"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III.11</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541BF3" w14:textId="2F39DC68"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29. Value of mobility</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AD15DC" w14:textId="77777777"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Mechanism to facilitate the implementation of approaches and good practice learned by</w:t>
            </w:r>
          </w:p>
          <w:p w14:paraId="2DC10CAD" w14:textId="372C52EB"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staff during various forms of mobility - experience exchange platform (continued action)</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100E28" w14:textId="603361C2"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 xml:space="preserve">International Cooperation </w:t>
            </w:r>
            <w:r w:rsidR="0005282E">
              <w:t xml:space="preserve"> </w:t>
            </w:r>
            <w:r w:rsidR="0005282E" w:rsidRPr="0005282E">
              <w:rPr>
                <w:lang w:val="en-GB"/>
              </w:rPr>
              <w:t>Centre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FBEF0C" w14:textId="0EA4E914"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meetings to exchange good practice observed at other institutions</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80E6306" w14:textId="5A44ABA5"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2022 - 2024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F9917B" w14:textId="3264F8FC" w:rsidR="00E73CEF" w:rsidRPr="00AF54EC" w:rsidRDefault="00E73CEF" w:rsidP="00E73CEF">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goal of the action is to share and apply at TUL the experience, good practice and approaches encountered by the staff participating in different forms of mobility.</w:t>
            </w:r>
          </w:p>
        </w:tc>
      </w:tr>
      <w:tr w:rsidR="00E73CEF" w:rsidRPr="00CF74F2" w14:paraId="02F9F83D" w14:textId="77777777" w:rsidTr="00964E4B">
        <w:trPr>
          <w:trHeight w:val="1800"/>
        </w:trPr>
        <w:tc>
          <w:tcPr>
            <w:tcW w:w="585" w:type="dxa"/>
            <w:tcBorders>
              <w:top w:val="single" w:sz="8" w:space="0" w:color="auto"/>
              <w:left w:val="single" w:sz="8" w:space="0" w:color="auto"/>
              <w:bottom w:val="single" w:sz="4" w:space="0" w:color="auto"/>
              <w:right w:val="single" w:sz="8" w:space="0" w:color="auto"/>
            </w:tcBorders>
            <w:shd w:val="clear" w:color="000000" w:fill="BFBFBF"/>
            <w:vAlign w:val="center"/>
            <w:hideMark/>
          </w:tcPr>
          <w:p w14:paraId="45F1B594"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III.12</w:t>
            </w:r>
          </w:p>
        </w:tc>
        <w:tc>
          <w:tcPr>
            <w:tcW w:w="2099" w:type="dxa"/>
            <w:tcBorders>
              <w:top w:val="single" w:sz="8" w:space="0" w:color="auto"/>
              <w:left w:val="nil"/>
              <w:bottom w:val="single" w:sz="4" w:space="0" w:color="auto"/>
              <w:right w:val="single" w:sz="8" w:space="0" w:color="auto"/>
            </w:tcBorders>
            <w:shd w:val="clear" w:color="auto" w:fill="auto"/>
            <w:vAlign w:val="center"/>
            <w:hideMark/>
          </w:tcPr>
          <w:p w14:paraId="64CFC11C" w14:textId="43DDEB3E"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29. Value of mobility</w:t>
            </w:r>
          </w:p>
        </w:tc>
        <w:tc>
          <w:tcPr>
            <w:tcW w:w="2096" w:type="dxa"/>
            <w:tcBorders>
              <w:top w:val="single" w:sz="8" w:space="0" w:color="auto"/>
              <w:left w:val="nil"/>
              <w:bottom w:val="single" w:sz="4" w:space="0" w:color="auto"/>
              <w:right w:val="single" w:sz="8" w:space="0" w:color="auto"/>
            </w:tcBorders>
            <w:shd w:val="clear" w:color="auto" w:fill="auto"/>
            <w:vAlign w:val="center"/>
            <w:hideMark/>
          </w:tcPr>
          <w:p w14:paraId="113040EB" w14:textId="32C9BAF9"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Welcome Point</w:t>
            </w:r>
          </w:p>
        </w:tc>
        <w:tc>
          <w:tcPr>
            <w:tcW w:w="1773" w:type="dxa"/>
            <w:tcBorders>
              <w:top w:val="single" w:sz="8" w:space="0" w:color="auto"/>
              <w:left w:val="nil"/>
              <w:bottom w:val="single" w:sz="4" w:space="0" w:color="auto"/>
              <w:right w:val="single" w:sz="8" w:space="0" w:color="auto"/>
            </w:tcBorders>
            <w:shd w:val="clear" w:color="auto" w:fill="auto"/>
            <w:vAlign w:val="center"/>
            <w:hideMark/>
          </w:tcPr>
          <w:p w14:paraId="03372083" w14:textId="21493FE5" w:rsidR="00E73CEF" w:rsidRPr="00AF54EC" w:rsidRDefault="0005282E" w:rsidP="00E73CEF">
            <w:pPr>
              <w:spacing w:after="0" w:line="240" w:lineRule="auto"/>
              <w:rPr>
                <w:rFonts w:ascii="Calibri" w:eastAsia="Times New Roman" w:hAnsi="Calibri" w:cs="Calibri"/>
                <w:color w:val="000000"/>
                <w:lang w:val="en-GB" w:eastAsia="pl-PL"/>
              </w:rPr>
            </w:pPr>
            <w:r w:rsidRPr="00AF54EC">
              <w:rPr>
                <w:lang w:val="en-GB"/>
              </w:rPr>
              <w:t xml:space="preserve">International Cooperation </w:t>
            </w:r>
            <w:r>
              <w:t xml:space="preserve"> </w:t>
            </w:r>
            <w:r w:rsidRPr="0005282E">
              <w:rPr>
                <w:lang w:val="en-GB"/>
              </w:rPr>
              <w:t>Centre</w:t>
            </w:r>
          </w:p>
        </w:tc>
        <w:tc>
          <w:tcPr>
            <w:tcW w:w="2012" w:type="dxa"/>
            <w:tcBorders>
              <w:top w:val="single" w:sz="8" w:space="0" w:color="auto"/>
              <w:left w:val="nil"/>
              <w:bottom w:val="single" w:sz="4" w:space="0" w:color="auto"/>
              <w:right w:val="single" w:sz="8" w:space="0" w:color="auto"/>
            </w:tcBorders>
            <w:shd w:val="clear" w:color="auto" w:fill="auto"/>
            <w:vAlign w:val="center"/>
            <w:hideMark/>
          </w:tcPr>
          <w:p w14:paraId="74E6EA59" w14:textId="2B149FA6"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 xml:space="preserve">Establishing the Welcome Point </w:t>
            </w:r>
          </w:p>
        </w:tc>
        <w:tc>
          <w:tcPr>
            <w:tcW w:w="2371" w:type="dxa"/>
            <w:tcBorders>
              <w:top w:val="single" w:sz="8" w:space="0" w:color="auto"/>
              <w:left w:val="nil"/>
              <w:bottom w:val="single" w:sz="4" w:space="0" w:color="auto"/>
              <w:right w:val="single" w:sz="8" w:space="0" w:color="auto"/>
            </w:tcBorders>
            <w:shd w:val="clear" w:color="auto" w:fill="auto"/>
            <w:vAlign w:val="center"/>
            <w:hideMark/>
          </w:tcPr>
          <w:p w14:paraId="59B95158" w14:textId="767B3D09"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nil"/>
              <w:bottom w:val="single" w:sz="4" w:space="0" w:color="auto"/>
              <w:right w:val="single" w:sz="8" w:space="0" w:color="auto"/>
            </w:tcBorders>
            <w:shd w:val="clear" w:color="auto" w:fill="auto"/>
            <w:vAlign w:val="center"/>
            <w:hideMark/>
          </w:tcPr>
          <w:p w14:paraId="357274DC" w14:textId="158DF6C2" w:rsidR="00E73CEF" w:rsidRPr="00AF54EC" w:rsidRDefault="00E73CEF" w:rsidP="00E73CEF">
            <w:pPr>
              <w:spacing w:after="0" w:line="240" w:lineRule="auto"/>
              <w:jc w:val="both"/>
              <w:rPr>
                <w:rFonts w:ascii="Calibri" w:eastAsia="Times New Roman" w:hAnsi="Calibri" w:cs="Calibri"/>
                <w:color w:val="000000"/>
                <w:lang w:val="en-GB" w:eastAsia="pl-PL"/>
              </w:rPr>
            </w:pPr>
            <w:r w:rsidRPr="00AF54EC">
              <w:rPr>
                <w:lang w:val="en-GB"/>
              </w:rPr>
              <w:t>To establish a service and assistance facility for visiting international researchers.</w:t>
            </w:r>
          </w:p>
        </w:tc>
      </w:tr>
      <w:tr w:rsidR="00E73CEF" w:rsidRPr="00CF74F2" w14:paraId="3901B7AB" w14:textId="77777777" w:rsidTr="00964E4B">
        <w:trPr>
          <w:trHeight w:val="3000"/>
        </w:trPr>
        <w:tc>
          <w:tcPr>
            <w:tcW w:w="585" w:type="dxa"/>
            <w:tcBorders>
              <w:top w:val="single" w:sz="4" w:space="0" w:color="auto"/>
              <w:left w:val="single" w:sz="8" w:space="0" w:color="auto"/>
              <w:bottom w:val="single" w:sz="8" w:space="0" w:color="auto"/>
              <w:right w:val="single" w:sz="8" w:space="0" w:color="auto"/>
            </w:tcBorders>
            <w:shd w:val="clear" w:color="000000" w:fill="BFBFBF"/>
            <w:vAlign w:val="center"/>
            <w:hideMark/>
          </w:tcPr>
          <w:p w14:paraId="4AB4E73E"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III.13</w:t>
            </w:r>
          </w:p>
        </w:tc>
        <w:tc>
          <w:tcPr>
            <w:tcW w:w="209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9182060" w14:textId="23AD7B1A"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29. Value of mobility</w:t>
            </w:r>
          </w:p>
        </w:tc>
        <w:tc>
          <w:tcPr>
            <w:tcW w:w="209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D9ECE1A" w14:textId="3D5F20A6" w:rsidR="00E73CEF" w:rsidRPr="00AF54EC" w:rsidRDefault="00257DE5" w:rsidP="00E73CEF">
            <w:pPr>
              <w:spacing w:after="0" w:line="240" w:lineRule="auto"/>
              <w:rPr>
                <w:rFonts w:ascii="Calibri" w:eastAsia="Times New Roman" w:hAnsi="Calibri" w:cs="Calibri"/>
                <w:color w:val="000000"/>
                <w:lang w:val="en-GB" w:eastAsia="pl-PL"/>
              </w:rPr>
            </w:pPr>
            <w:bookmarkStart w:id="1" w:name="_Hlk91933201"/>
            <w:r w:rsidRPr="00257DE5">
              <w:rPr>
                <w:rFonts w:ascii="Calibri" w:eastAsia="Times New Roman" w:hAnsi="Calibri" w:cs="Calibri"/>
                <w:color w:val="000000"/>
                <w:lang w:val="en-US" w:eastAsia="pl-PL"/>
              </w:rPr>
              <w:t xml:space="preserve">To obtain funding from external </w:t>
            </w:r>
            <w:proofErr w:type="spellStart"/>
            <w:r w:rsidRPr="00257DE5">
              <w:rPr>
                <w:rFonts w:ascii="Calibri" w:eastAsia="Times New Roman" w:hAnsi="Calibri" w:cs="Calibri"/>
                <w:color w:val="000000"/>
                <w:lang w:val="en-US" w:eastAsia="pl-PL"/>
              </w:rPr>
              <w:t>programmes</w:t>
            </w:r>
            <w:proofErr w:type="spellEnd"/>
            <w:r w:rsidRPr="00257DE5">
              <w:rPr>
                <w:rFonts w:ascii="Calibri" w:eastAsia="Times New Roman" w:hAnsi="Calibri" w:cs="Calibri"/>
                <w:color w:val="000000"/>
                <w:lang w:val="en-US" w:eastAsia="pl-PL"/>
              </w:rPr>
              <w:t xml:space="preserve"> to carry out international mobility of the staff and doctoral candidates</w:t>
            </w:r>
            <w:bookmarkEnd w:id="1"/>
          </w:p>
        </w:tc>
        <w:tc>
          <w:tcPr>
            <w:tcW w:w="1773"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055A35F" w14:textId="53406AA4" w:rsidR="00E73CEF" w:rsidRPr="00AF54EC" w:rsidRDefault="0005282E" w:rsidP="00E73CEF">
            <w:pPr>
              <w:spacing w:after="0" w:line="240" w:lineRule="auto"/>
              <w:rPr>
                <w:rFonts w:ascii="Calibri" w:eastAsia="Times New Roman" w:hAnsi="Calibri" w:cs="Calibri"/>
                <w:color w:val="000000"/>
                <w:lang w:val="en-GB" w:eastAsia="pl-PL"/>
              </w:rPr>
            </w:pPr>
            <w:r w:rsidRPr="00AF54EC">
              <w:rPr>
                <w:lang w:val="en-GB"/>
              </w:rPr>
              <w:t xml:space="preserve">International Cooperation </w:t>
            </w:r>
            <w:r>
              <w:t xml:space="preserve"> </w:t>
            </w:r>
            <w:r w:rsidRPr="0005282E">
              <w:rPr>
                <w:lang w:val="en-GB"/>
              </w:rPr>
              <w:t>Centre</w:t>
            </w:r>
          </w:p>
        </w:tc>
        <w:tc>
          <w:tcPr>
            <w:tcW w:w="201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0694AE1" w14:textId="26B22229"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Level of funding acquired for staff mobility</w:t>
            </w:r>
          </w:p>
        </w:tc>
        <w:tc>
          <w:tcPr>
            <w:tcW w:w="2371"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26A6BA2" w14:textId="03D14BF5" w:rsidR="00E73CEF" w:rsidRPr="00AF54EC" w:rsidRDefault="00E73CEF" w:rsidP="00E73CEF">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2022 - 2024</w:t>
            </w:r>
          </w:p>
        </w:tc>
        <w:tc>
          <w:tcPr>
            <w:tcW w:w="535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77B01425" w14:textId="3CCC629D" w:rsidR="00E73CEF" w:rsidRPr="00AF54EC" w:rsidRDefault="00E73CEF" w:rsidP="00E73CEF">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aim of the action is to enable academic exchange between EU countries as well as non-EU countries to build human and research capacity, to share experience, learn good practice, and to develop professional and linguistic competence of the staff.</w:t>
            </w:r>
          </w:p>
        </w:tc>
      </w:tr>
      <w:tr w:rsidR="00E73CEF" w:rsidRPr="00CF74F2" w14:paraId="51AF00D0" w14:textId="77777777" w:rsidTr="00DF6D88">
        <w:trPr>
          <w:trHeight w:val="303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1EFE813" w14:textId="77777777" w:rsidR="00E73CEF" w:rsidRPr="00AF54EC" w:rsidRDefault="00E73CEF" w:rsidP="00E73CEF">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III.14</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BA6E949" w14:textId="2ADC094E"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30. Access to career advice</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505AD5" w14:textId="298AADE9"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To carry out one-to-one consultancy and coaching to support professional and personal development of the staff</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EB95187" w14:textId="4538FEF9" w:rsidR="00E73CEF" w:rsidRPr="00AF54EC" w:rsidRDefault="002F26F1" w:rsidP="00E73CEF">
            <w:pPr>
              <w:spacing w:after="0" w:line="240" w:lineRule="auto"/>
              <w:rPr>
                <w:rFonts w:ascii="Calibri" w:eastAsia="Times New Roman" w:hAnsi="Calibri" w:cs="Calibri"/>
                <w:color w:val="000000"/>
                <w:lang w:val="en-GB" w:eastAsia="pl-PL"/>
              </w:rPr>
            </w:pPr>
            <w:r w:rsidRPr="00AF54EC">
              <w:rPr>
                <w:lang w:val="en-GB"/>
              </w:rPr>
              <w:t>Careers Office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99212" w14:textId="7DCC2269"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 xml:space="preserve">Number of individuals receiving </w:t>
            </w:r>
            <w:r w:rsidR="00D145ED" w:rsidRPr="00AF54EC">
              <w:rPr>
                <w:lang w:val="en-GB"/>
              </w:rPr>
              <w:t>counselling</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E570D8" w14:textId="53B379B9" w:rsidR="00E73CEF" w:rsidRPr="00AF54EC" w:rsidRDefault="00E73CEF" w:rsidP="00E73CEF">
            <w:pPr>
              <w:spacing w:after="0" w:line="240" w:lineRule="auto"/>
              <w:rPr>
                <w:rFonts w:ascii="Calibri" w:eastAsia="Times New Roman" w:hAnsi="Calibri" w:cs="Calibri"/>
                <w:color w:val="000000"/>
                <w:lang w:val="en-GB" w:eastAsia="pl-PL"/>
              </w:rPr>
            </w:pPr>
            <w:r w:rsidRPr="00AF54EC">
              <w:rPr>
                <w:lang w:val="en-GB"/>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33533F"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objective of the action is to provide one-to-one support to staff members who are dealing with difficulties related to their professional and personal goals. </w:t>
            </w:r>
          </w:p>
          <w:p w14:paraId="7D26B9B3" w14:textId="063DC11E" w:rsidR="00E73CEF"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measure assists the staff when they experience a lack of motivation, challenging team relations, difficulty attaining professional goals or meeting responsibilities, building professional development plans, and other situations affecting their personal and professional performance</w:t>
            </w:r>
            <w:r w:rsidR="00CF74F2">
              <w:rPr>
                <w:rFonts w:ascii="Calibri" w:eastAsia="Times New Roman" w:hAnsi="Calibri" w:cs="Calibri"/>
                <w:color w:val="000000"/>
                <w:lang w:val="en-GB" w:eastAsia="pl-PL"/>
              </w:rPr>
              <w:t>.</w:t>
            </w:r>
          </w:p>
        </w:tc>
      </w:tr>
      <w:tr w:rsidR="00257DE5" w:rsidRPr="00CF74F2" w14:paraId="3914E1B4" w14:textId="77777777" w:rsidTr="00FF6CDE">
        <w:trPr>
          <w:trHeight w:val="3495"/>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1BF0973" w14:textId="77777777" w:rsidR="00257DE5" w:rsidRPr="00AF54EC" w:rsidRDefault="00257DE5" w:rsidP="00257DE5">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III.15</w:t>
            </w:r>
          </w:p>
        </w:tc>
        <w:tc>
          <w:tcPr>
            <w:tcW w:w="2099" w:type="dxa"/>
            <w:tcBorders>
              <w:top w:val="single" w:sz="8" w:space="0" w:color="auto"/>
              <w:left w:val="nil"/>
              <w:bottom w:val="single" w:sz="8" w:space="0" w:color="auto"/>
              <w:right w:val="single" w:sz="8" w:space="0" w:color="auto"/>
            </w:tcBorders>
            <w:shd w:val="clear" w:color="auto" w:fill="auto"/>
            <w:vAlign w:val="center"/>
            <w:hideMark/>
          </w:tcPr>
          <w:p w14:paraId="58DA4B1B" w14:textId="2A3B59AE" w:rsidR="00257DE5" w:rsidRPr="00257DE5" w:rsidRDefault="00257DE5" w:rsidP="00257DE5">
            <w:pPr>
              <w:spacing w:after="0" w:line="240" w:lineRule="auto"/>
              <w:rPr>
                <w:rFonts w:ascii="Calibri" w:eastAsia="Times New Roman" w:hAnsi="Calibri" w:cs="Calibri"/>
                <w:color w:val="000000"/>
                <w:lang w:val="en-GB" w:eastAsia="pl-PL"/>
              </w:rPr>
            </w:pPr>
            <w:r w:rsidRPr="00257DE5">
              <w:t xml:space="preserve">30. Access to </w:t>
            </w:r>
            <w:proofErr w:type="spellStart"/>
            <w:r w:rsidRPr="00257DE5">
              <w:t>career</w:t>
            </w:r>
            <w:proofErr w:type="spellEnd"/>
            <w:r w:rsidRPr="00257DE5">
              <w:t xml:space="preserve"> </w:t>
            </w:r>
            <w:proofErr w:type="spellStart"/>
            <w:r w:rsidRPr="00257DE5">
              <w:t>advice</w:t>
            </w:r>
            <w:proofErr w:type="spellEnd"/>
          </w:p>
        </w:tc>
        <w:tc>
          <w:tcPr>
            <w:tcW w:w="2096" w:type="dxa"/>
            <w:tcBorders>
              <w:top w:val="single" w:sz="8" w:space="0" w:color="auto"/>
              <w:left w:val="nil"/>
              <w:bottom w:val="single" w:sz="8" w:space="0" w:color="auto"/>
              <w:right w:val="single" w:sz="8" w:space="0" w:color="auto"/>
            </w:tcBorders>
            <w:shd w:val="clear" w:color="auto" w:fill="auto"/>
            <w:vAlign w:val="center"/>
            <w:hideMark/>
          </w:tcPr>
          <w:p w14:paraId="49802BD7" w14:textId="1C676429" w:rsidR="00257DE5" w:rsidRPr="00257DE5" w:rsidRDefault="00257DE5" w:rsidP="00257DE5">
            <w:pPr>
              <w:spacing w:after="0" w:line="240" w:lineRule="auto"/>
              <w:rPr>
                <w:rFonts w:ascii="Calibri" w:eastAsia="Times New Roman" w:hAnsi="Calibri" w:cs="Calibri"/>
                <w:color w:val="000000"/>
                <w:lang w:val="en-GB" w:eastAsia="pl-PL"/>
              </w:rPr>
            </w:pPr>
            <w:bookmarkStart w:id="2" w:name="_Hlk91935859"/>
            <w:r w:rsidRPr="00257DE5">
              <w:rPr>
                <w:lang w:val="en-US"/>
              </w:rPr>
              <w:t xml:space="preserve">To support academic staff in achieving effective team collaboration through team coaching and training </w:t>
            </w:r>
            <w:proofErr w:type="spellStart"/>
            <w:r w:rsidRPr="00257DE5">
              <w:rPr>
                <w:lang w:val="en-US"/>
              </w:rPr>
              <w:t>programmes</w:t>
            </w:r>
            <w:bookmarkEnd w:id="2"/>
            <w:proofErr w:type="spellEnd"/>
          </w:p>
        </w:tc>
        <w:tc>
          <w:tcPr>
            <w:tcW w:w="1773" w:type="dxa"/>
            <w:tcBorders>
              <w:top w:val="single" w:sz="8" w:space="0" w:color="auto"/>
              <w:left w:val="nil"/>
              <w:bottom w:val="single" w:sz="8" w:space="0" w:color="auto"/>
              <w:right w:val="single" w:sz="8" w:space="0" w:color="auto"/>
            </w:tcBorders>
            <w:shd w:val="clear" w:color="auto" w:fill="auto"/>
            <w:vAlign w:val="center"/>
            <w:hideMark/>
          </w:tcPr>
          <w:p w14:paraId="551EB98F" w14:textId="7D1032A5" w:rsidR="00257DE5" w:rsidRPr="00257DE5" w:rsidRDefault="00257DE5" w:rsidP="00257DE5">
            <w:pPr>
              <w:spacing w:after="0" w:line="240" w:lineRule="auto"/>
              <w:rPr>
                <w:rFonts w:ascii="Calibri" w:eastAsia="Times New Roman" w:hAnsi="Calibri" w:cs="Calibri"/>
                <w:color w:val="000000"/>
                <w:lang w:val="en-GB" w:eastAsia="pl-PL"/>
              </w:rPr>
            </w:pPr>
            <w:proofErr w:type="spellStart"/>
            <w:r w:rsidRPr="00257DE5">
              <w:t>Careers</w:t>
            </w:r>
            <w:proofErr w:type="spellEnd"/>
            <w:r w:rsidRPr="00257DE5">
              <w:t xml:space="preserve"> Office</w:t>
            </w:r>
          </w:p>
        </w:tc>
        <w:tc>
          <w:tcPr>
            <w:tcW w:w="2012" w:type="dxa"/>
            <w:tcBorders>
              <w:top w:val="single" w:sz="8" w:space="0" w:color="auto"/>
              <w:left w:val="nil"/>
              <w:bottom w:val="single" w:sz="8" w:space="0" w:color="auto"/>
              <w:right w:val="single" w:sz="8" w:space="0" w:color="auto"/>
            </w:tcBorders>
            <w:shd w:val="clear" w:color="auto" w:fill="auto"/>
            <w:vAlign w:val="center"/>
            <w:hideMark/>
          </w:tcPr>
          <w:p w14:paraId="02C85670" w14:textId="77777777" w:rsidR="00257DE5" w:rsidRPr="00257DE5" w:rsidRDefault="00257DE5" w:rsidP="00257DE5">
            <w:pPr>
              <w:spacing w:after="0" w:line="240" w:lineRule="auto"/>
              <w:rPr>
                <w:lang w:val="en-US"/>
              </w:rPr>
            </w:pPr>
            <w:bookmarkStart w:id="3" w:name="_Hlk91935921"/>
            <w:r w:rsidRPr="00257DE5">
              <w:rPr>
                <w:lang w:val="en-US"/>
              </w:rPr>
              <w:t>Number of training sessions on effective teamwork</w:t>
            </w:r>
          </w:p>
          <w:p w14:paraId="16C196B7" w14:textId="5AA8BE5C" w:rsidR="00257DE5" w:rsidRPr="00257DE5" w:rsidRDefault="00257DE5" w:rsidP="00257DE5">
            <w:pPr>
              <w:spacing w:after="0" w:line="240" w:lineRule="auto"/>
              <w:rPr>
                <w:rFonts w:ascii="Calibri" w:eastAsia="Times New Roman" w:hAnsi="Calibri" w:cs="Calibri"/>
                <w:color w:val="000000"/>
                <w:lang w:val="en-GB" w:eastAsia="pl-PL"/>
              </w:rPr>
            </w:pPr>
            <w:r w:rsidRPr="00257DE5">
              <w:rPr>
                <w:lang w:val="en-US"/>
              </w:rPr>
              <w:t>Number of coaching sessions for researchers</w:t>
            </w:r>
            <w:bookmarkEnd w:id="3"/>
          </w:p>
        </w:tc>
        <w:tc>
          <w:tcPr>
            <w:tcW w:w="2371" w:type="dxa"/>
            <w:tcBorders>
              <w:top w:val="single" w:sz="8" w:space="0" w:color="auto"/>
              <w:left w:val="nil"/>
              <w:bottom w:val="single" w:sz="8" w:space="0" w:color="auto"/>
              <w:right w:val="single" w:sz="8" w:space="0" w:color="auto"/>
            </w:tcBorders>
            <w:shd w:val="clear" w:color="auto" w:fill="auto"/>
            <w:vAlign w:val="center"/>
            <w:hideMark/>
          </w:tcPr>
          <w:p w14:paraId="1BBFB64F" w14:textId="6C7CFABA" w:rsidR="00257DE5" w:rsidRPr="00257DE5" w:rsidRDefault="00257DE5" w:rsidP="00257DE5">
            <w:pPr>
              <w:spacing w:after="0" w:line="240" w:lineRule="auto"/>
              <w:rPr>
                <w:rFonts w:ascii="Calibri" w:eastAsia="Times New Roman" w:hAnsi="Calibri" w:cs="Calibri"/>
                <w:color w:val="000000"/>
                <w:lang w:val="en-GB" w:eastAsia="pl-PL"/>
              </w:rPr>
            </w:pPr>
            <w:r w:rsidRPr="00257DE5">
              <w:t>2022-2024</w:t>
            </w:r>
          </w:p>
        </w:tc>
        <w:tc>
          <w:tcPr>
            <w:tcW w:w="5356" w:type="dxa"/>
            <w:tcBorders>
              <w:top w:val="single" w:sz="8" w:space="0" w:color="auto"/>
              <w:left w:val="nil"/>
              <w:bottom w:val="single" w:sz="8" w:space="0" w:color="auto"/>
              <w:right w:val="single" w:sz="8" w:space="0" w:color="auto"/>
            </w:tcBorders>
            <w:shd w:val="clear" w:color="auto" w:fill="auto"/>
            <w:vAlign w:val="center"/>
            <w:hideMark/>
          </w:tcPr>
          <w:p w14:paraId="7DBF3E7B" w14:textId="77777777" w:rsidR="00257DE5" w:rsidRDefault="00257DE5" w:rsidP="00257DE5">
            <w:pPr>
              <w:spacing w:after="0" w:line="240" w:lineRule="auto"/>
              <w:jc w:val="both"/>
              <w:rPr>
                <w:rFonts w:ascii="Calibri" w:eastAsia="Times New Roman" w:hAnsi="Calibri" w:cs="Calibri"/>
                <w:color w:val="000000"/>
                <w:lang w:val="en-US" w:eastAsia="pl-PL"/>
              </w:rPr>
            </w:pPr>
            <w:bookmarkStart w:id="4" w:name="_Hlk91935892"/>
          </w:p>
          <w:p w14:paraId="4F90668E" w14:textId="77777777" w:rsidR="00257DE5" w:rsidRDefault="00257DE5" w:rsidP="00257DE5">
            <w:pPr>
              <w:spacing w:after="0" w:line="240" w:lineRule="auto"/>
              <w:jc w:val="both"/>
              <w:rPr>
                <w:rFonts w:ascii="Calibri" w:eastAsia="Times New Roman" w:hAnsi="Calibri" w:cs="Calibri"/>
                <w:color w:val="000000"/>
                <w:lang w:val="en-US" w:eastAsia="pl-PL"/>
              </w:rPr>
            </w:pPr>
          </w:p>
          <w:p w14:paraId="342E64BF" w14:textId="77777777" w:rsidR="00257DE5" w:rsidRDefault="00257DE5" w:rsidP="00257DE5">
            <w:pPr>
              <w:spacing w:after="0" w:line="240" w:lineRule="auto"/>
              <w:jc w:val="both"/>
              <w:rPr>
                <w:rFonts w:ascii="Calibri" w:eastAsia="Times New Roman" w:hAnsi="Calibri" w:cs="Calibri"/>
                <w:color w:val="000000"/>
                <w:lang w:val="en-US" w:eastAsia="pl-PL"/>
              </w:rPr>
            </w:pPr>
          </w:p>
          <w:p w14:paraId="7396D02C" w14:textId="77777777" w:rsidR="00257DE5" w:rsidRDefault="00257DE5" w:rsidP="00257DE5">
            <w:pPr>
              <w:spacing w:after="0" w:line="240" w:lineRule="auto"/>
              <w:jc w:val="both"/>
              <w:rPr>
                <w:rFonts w:ascii="Calibri" w:eastAsia="Times New Roman" w:hAnsi="Calibri" w:cs="Calibri"/>
                <w:color w:val="000000"/>
                <w:lang w:val="en-US" w:eastAsia="pl-PL"/>
              </w:rPr>
            </w:pPr>
          </w:p>
          <w:p w14:paraId="22820DC6" w14:textId="77777777" w:rsidR="00257DE5" w:rsidRDefault="00257DE5" w:rsidP="00257DE5">
            <w:pPr>
              <w:spacing w:after="0" w:line="240" w:lineRule="auto"/>
              <w:jc w:val="both"/>
              <w:rPr>
                <w:rFonts w:ascii="Calibri" w:eastAsia="Times New Roman" w:hAnsi="Calibri" w:cs="Calibri"/>
                <w:color w:val="000000"/>
                <w:lang w:val="en-US" w:eastAsia="pl-PL"/>
              </w:rPr>
            </w:pPr>
          </w:p>
          <w:p w14:paraId="14278A3F" w14:textId="686C8949" w:rsidR="00257DE5" w:rsidRDefault="00257DE5" w:rsidP="00257DE5">
            <w:pPr>
              <w:spacing w:after="0" w:line="240" w:lineRule="auto"/>
              <w:jc w:val="both"/>
              <w:rPr>
                <w:rFonts w:ascii="Calibri" w:eastAsia="Times New Roman" w:hAnsi="Calibri" w:cs="Calibri"/>
                <w:color w:val="000000"/>
                <w:lang w:val="en-US" w:eastAsia="pl-PL"/>
              </w:rPr>
            </w:pPr>
          </w:p>
          <w:p w14:paraId="26DBA610" w14:textId="537E86E8" w:rsidR="00257DE5" w:rsidRDefault="00257DE5" w:rsidP="00257DE5">
            <w:pPr>
              <w:spacing w:after="0" w:line="240" w:lineRule="auto"/>
              <w:jc w:val="both"/>
              <w:rPr>
                <w:rFonts w:ascii="Calibri" w:eastAsia="Times New Roman" w:hAnsi="Calibri" w:cs="Calibri"/>
                <w:color w:val="000000"/>
                <w:lang w:val="en-US" w:eastAsia="pl-PL"/>
              </w:rPr>
            </w:pPr>
          </w:p>
          <w:p w14:paraId="380A5CFB" w14:textId="009DD5D7" w:rsidR="00257DE5" w:rsidRDefault="00257DE5" w:rsidP="00257DE5">
            <w:pPr>
              <w:spacing w:after="0" w:line="240" w:lineRule="auto"/>
              <w:jc w:val="both"/>
              <w:rPr>
                <w:rFonts w:ascii="Calibri" w:eastAsia="Times New Roman" w:hAnsi="Calibri" w:cs="Calibri"/>
                <w:color w:val="000000"/>
                <w:lang w:val="en-US" w:eastAsia="pl-PL"/>
              </w:rPr>
            </w:pPr>
          </w:p>
          <w:p w14:paraId="4221459D" w14:textId="77777777" w:rsidR="00257DE5" w:rsidRDefault="00257DE5" w:rsidP="00257DE5">
            <w:pPr>
              <w:spacing w:after="0" w:line="240" w:lineRule="auto"/>
              <w:jc w:val="both"/>
              <w:rPr>
                <w:rFonts w:ascii="Calibri" w:eastAsia="Times New Roman" w:hAnsi="Calibri" w:cs="Calibri"/>
                <w:color w:val="000000"/>
                <w:lang w:val="en-US" w:eastAsia="pl-PL"/>
              </w:rPr>
            </w:pPr>
          </w:p>
          <w:p w14:paraId="379316A1" w14:textId="77777777" w:rsidR="00257DE5" w:rsidRDefault="00257DE5" w:rsidP="00257DE5">
            <w:pPr>
              <w:spacing w:after="0" w:line="240" w:lineRule="auto"/>
              <w:jc w:val="both"/>
              <w:rPr>
                <w:rFonts w:ascii="Calibri" w:eastAsia="Times New Roman" w:hAnsi="Calibri" w:cs="Calibri"/>
                <w:color w:val="000000"/>
                <w:lang w:val="en-US" w:eastAsia="pl-PL"/>
              </w:rPr>
            </w:pPr>
          </w:p>
          <w:p w14:paraId="11ABB213" w14:textId="4BEF54C0" w:rsidR="00257DE5" w:rsidRPr="00257DE5" w:rsidRDefault="00257DE5" w:rsidP="00257DE5">
            <w:pPr>
              <w:spacing w:after="0" w:line="240" w:lineRule="auto"/>
              <w:jc w:val="both"/>
              <w:rPr>
                <w:rFonts w:ascii="Calibri" w:eastAsia="Times New Roman" w:hAnsi="Calibri" w:cs="Calibri"/>
                <w:color w:val="000000"/>
                <w:lang w:val="en-US" w:eastAsia="pl-PL"/>
              </w:rPr>
            </w:pPr>
            <w:r w:rsidRPr="00257DE5">
              <w:rPr>
                <w:rFonts w:ascii="Calibri" w:eastAsia="Times New Roman" w:hAnsi="Calibri" w:cs="Calibri"/>
                <w:color w:val="000000"/>
                <w:lang w:val="en-US" w:eastAsia="pl-PL"/>
              </w:rPr>
              <w:t xml:space="preserve">The action aims to support groups in terms of teamwork, integration, resolving conflicts and difficult team situations, and to reinforce team strengths to build their effectiveness on. </w:t>
            </w:r>
          </w:p>
          <w:p w14:paraId="02DB4A2A" w14:textId="77777777" w:rsidR="00257DE5" w:rsidRPr="00257DE5" w:rsidRDefault="00257DE5" w:rsidP="00257DE5">
            <w:pPr>
              <w:spacing w:after="0" w:line="240" w:lineRule="auto"/>
              <w:jc w:val="both"/>
              <w:rPr>
                <w:rFonts w:ascii="Calibri" w:eastAsia="Times New Roman" w:hAnsi="Calibri" w:cs="Calibri"/>
                <w:color w:val="000000"/>
                <w:lang w:val="en-US" w:eastAsia="pl-PL"/>
              </w:rPr>
            </w:pPr>
            <w:r w:rsidRPr="00257DE5">
              <w:rPr>
                <w:rFonts w:ascii="Calibri" w:eastAsia="Times New Roman" w:hAnsi="Calibri" w:cs="Calibri"/>
                <w:color w:val="000000"/>
                <w:lang w:val="en-US" w:eastAsia="pl-PL"/>
              </w:rPr>
              <w:t>Consequently, the action should improve their performance due to taking full advantage of their human potential and good cooperation in achieving team and individual learning and teaching goals</w:t>
            </w:r>
            <w:bookmarkEnd w:id="4"/>
            <w:r w:rsidRPr="00257DE5">
              <w:rPr>
                <w:rFonts w:ascii="Calibri" w:eastAsia="Times New Roman" w:hAnsi="Calibri" w:cs="Calibri"/>
                <w:color w:val="000000"/>
                <w:lang w:val="en-US" w:eastAsia="pl-PL"/>
              </w:rPr>
              <w:t>.</w:t>
            </w:r>
          </w:p>
          <w:p w14:paraId="31B8D6C5" w14:textId="77777777" w:rsidR="00257DE5" w:rsidRPr="00257DE5" w:rsidRDefault="00257DE5" w:rsidP="00257DE5">
            <w:pPr>
              <w:spacing w:after="0" w:line="240" w:lineRule="auto"/>
              <w:jc w:val="both"/>
              <w:rPr>
                <w:rFonts w:ascii="Calibri" w:eastAsia="Times New Roman" w:hAnsi="Calibri" w:cs="Calibri"/>
                <w:color w:val="000000"/>
                <w:lang w:val="en-US" w:eastAsia="pl-PL"/>
              </w:rPr>
            </w:pPr>
          </w:p>
          <w:p w14:paraId="1B140F2D" w14:textId="20D7DFE7" w:rsidR="00257DE5" w:rsidRDefault="00257DE5" w:rsidP="00257DE5">
            <w:pPr>
              <w:spacing w:after="0" w:line="240" w:lineRule="auto"/>
              <w:jc w:val="both"/>
              <w:rPr>
                <w:rFonts w:ascii="Calibri" w:eastAsia="Times New Roman" w:hAnsi="Calibri" w:cs="Calibri"/>
                <w:color w:val="000000"/>
                <w:lang w:val="en-US" w:eastAsia="pl-PL"/>
              </w:rPr>
            </w:pPr>
          </w:p>
          <w:p w14:paraId="14B56A5A" w14:textId="0EBDB279" w:rsidR="00257DE5" w:rsidRDefault="00257DE5" w:rsidP="00257DE5">
            <w:pPr>
              <w:spacing w:after="0" w:line="240" w:lineRule="auto"/>
              <w:jc w:val="both"/>
              <w:rPr>
                <w:rFonts w:ascii="Calibri" w:eastAsia="Times New Roman" w:hAnsi="Calibri" w:cs="Calibri"/>
                <w:color w:val="000000"/>
                <w:lang w:val="en-US" w:eastAsia="pl-PL"/>
              </w:rPr>
            </w:pPr>
          </w:p>
          <w:p w14:paraId="1E749324" w14:textId="11786DD5" w:rsidR="00257DE5" w:rsidRDefault="00257DE5" w:rsidP="00257DE5">
            <w:pPr>
              <w:spacing w:after="0" w:line="240" w:lineRule="auto"/>
              <w:jc w:val="both"/>
              <w:rPr>
                <w:rFonts w:ascii="Calibri" w:eastAsia="Times New Roman" w:hAnsi="Calibri" w:cs="Calibri"/>
                <w:color w:val="000000"/>
                <w:lang w:val="en-US" w:eastAsia="pl-PL"/>
              </w:rPr>
            </w:pPr>
          </w:p>
          <w:p w14:paraId="541A427E" w14:textId="77777777" w:rsidR="00257DE5" w:rsidRDefault="00257DE5" w:rsidP="00257DE5">
            <w:pPr>
              <w:spacing w:after="0" w:line="240" w:lineRule="auto"/>
              <w:jc w:val="both"/>
              <w:rPr>
                <w:rFonts w:ascii="Calibri" w:eastAsia="Times New Roman" w:hAnsi="Calibri" w:cs="Calibri"/>
                <w:color w:val="000000"/>
                <w:lang w:val="en-US" w:eastAsia="pl-PL"/>
              </w:rPr>
            </w:pPr>
          </w:p>
          <w:p w14:paraId="4A895745" w14:textId="529714C3" w:rsidR="00257DE5" w:rsidRDefault="00257DE5" w:rsidP="00257DE5">
            <w:pPr>
              <w:spacing w:after="0" w:line="240" w:lineRule="auto"/>
              <w:jc w:val="both"/>
              <w:rPr>
                <w:rFonts w:ascii="Calibri" w:eastAsia="Times New Roman" w:hAnsi="Calibri" w:cs="Calibri"/>
                <w:color w:val="000000"/>
                <w:lang w:val="en-US" w:eastAsia="pl-PL"/>
              </w:rPr>
            </w:pPr>
          </w:p>
          <w:p w14:paraId="090456AF" w14:textId="77777777" w:rsidR="002514F9" w:rsidRDefault="002514F9" w:rsidP="00257DE5">
            <w:pPr>
              <w:spacing w:after="0" w:line="240" w:lineRule="auto"/>
              <w:jc w:val="both"/>
              <w:rPr>
                <w:rFonts w:ascii="Calibri" w:eastAsia="Times New Roman" w:hAnsi="Calibri" w:cs="Calibri"/>
                <w:color w:val="000000"/>
                <w:lang w:val="en-US" w:eastAsia="pl-PL"/>
              </w:rPr>
            </w:pPr>
          </w:p>
          <w:p w14:paraId="3953435E" w14:textId="4A4C2F29" w:rsidR="00257DE5" w:rsidRDefault="00257DE5" w:rsidP="00257DE5">
            <w:pPr>
              <w:spacing w:after="0" w:line="240" w:lineRule="auto"/>
              <w:jc w:val="both"/>
              <w:rPr>
                <w:rFonts w:ascii="Calibri" w:eastAsia="Times New Roman" w:hAnsi="Calibri" w:cs="Calibri"/>
                <w:color w:val="000000"/>
                <w:lang w:val="en-US" w:eastAsia="pl-PL"/>
              </w:rPr>
            </w:pPr>
          </w:p>
          <w:p w14:paraId="67BA12B5" w14:textId="77777777" w:rsidR="00257DE5" w:rsidRPr="00257DE5" w:rsidRDefault="00257DE5" w:rsidP="00257DE5">
            <w:pPr>
              <w:spacing w:after="0" w:line="240" w:lineRule="auto"/>
              <w:jc w:val="both"/>
              <w:rPr>
                <w:rFonts w:ascii="Calibri" w:eastAsia="Times New Roman" w:hAnsi="Calibri" w:cs="Calibri"/>
                <w:color w:val="000000"/>
                <w:lang w:val="en-US" w:eastAsia="pl-PL"/>
              </w:rPr>
            </w:pPr>
          </w:p>
          <w:p w14:paraId="6B96E007" w14:textId="77777777" w:rsidR="00257DE5" w:rsidRPr="00257DE5" w:rsidRDefault="00257DE5" w:rsidP="00257DE5">
            <w:pPr>
              <w:spacing w:after="0" w:line="240" w:lineRule="auto"/>
              <w:jc w:val="both"/>
              <w:rPr>
                <w:rFonts w:ascii="Calibri" w:eastAsia="Times New Roman" w:hAnsi="Calibri" w:cs="Calibri"/>
                <w:color w:val="000000"/>
                <w:lang w:val="en-US" w:eastAsia="pl-PL"/>
              </w:rPr>
            </w:pPr>
          </w:p>
          <w:p w14:paraId="161D4C9B" w14:textId="77777777" w:rsidR="00257DE5" w:rsidRPr="00257DE5" w:rsidRDefault="00257DE5" w:rsidP="00257DE5">
            <w:pPr>
              <w:spacing w:after="0" w:line="240" w:lineRule="auto"/>
              <w:jc w:val="both"/>
              <w:rPr>
                <w:rFonts w:ascii="Calibri" w:eastAsia="Times New Roman" w:hAnsi="Calibri" w:cs="Calibri"/>
                <w:color w:val="000000"/>
                <w:lang w:val="en-US" w:eastAsia="pl-PL"/>
              </w:rPr>
            </w:pPr>
          </w:p>
          <w:p w14:paraId="24C1C7A6" w14:textId="0CC538C1" w:rsidR="00257DE5" w:rsidRPr="00257DE5" w:rsidRDefault="00257DE5" w:rsidP="00257DE5">
            <w:pPr>
              <w:spacing w:after="0" w:line="240" w:lineRule="auto"/>
              <w:jc w:val="both"/>
              <w:rPr>
                <w:rFonts w:ascii="Calibri" w:eastAsia="Times New Roman" w:hAnsi="Calibri" w:cs="Calibri"/>
                <w:color w:val="000000"/>
                <w:lang w:val="en-GB" w:eastAsia="pl-PL"/>
              </w:rPr>
            </w:pPr>
          </w:p>
        </w:tc>
      </w:tr>
      <w:tr w:rsidR="00213038" w:rsidRPr="00AF54EC" w14:paraId="7BA341A3" w14:textId="77777777" w:rsidTr="0049502C">
        <w:trPr>
          <w:trHeight w:val="300"/>
        </w:trPr>
        <w:tc>
          <w:tcPr>
            <w:tcW w:w="16292" w:type="dxa"/>
            <w:gridSpan w:val="7"/>
            <w:tcBorders>
              <w:top w:val="single" w:sz="8" w:space="0" w:color="auto"/>
              <w:left w:val="single" w:sz="8" w:space="0" w:color="auto"/>
              <w:bottom w:val="single" w:sz="8" w:space="0" w:color="auto"/>
              <w:right w:val="single" w:sz="8" w:space="0" w:color="000000"/>
            </w:tcBorders>
            <w:shd w:val="clear" w:color="000000" w:fill="B4C6E7"/>
            <w:vAlign w:val="center"/>
            <w:hideMark/>
          </w:tcPr>
          <w:p w14:paraId="71238B48" w14:textId="782B91EE" w:rsidR="00213038" w:rsidRPr="00AF54EC" w:rsidRDefault="00213038" w:rsidP="00C81431">
            <w:pPr>
              <w:spacing w:after="0" w:line="240" w:lineRule="auto"/>
              <w:jc w:val="center"/>
              <w:rPr>
                <w:rFonts w:ascii="Calibri" w:eastAsia="Times New Roman" w:hAnsi="Calibri" w:cs="Calibri"/>
                <w:b/>
                <w:bCs/>
                <w:color w:val="000000"/>
                <w:lang w:val="en-GB" w:eastAsia="pl-PL"/>
              </w:rPr>
            </w:pPr>
            <w:r w:rsidRPr="00AF54EC">
              <w:rPr>
                <w:rFonts w:ascii="Calibri" w:eastAsia="Times New Roman" w:hAnsi="Calibri" w:cs="Calibri"/>
                <w:b/>
                <w:bCs/>
                <w:color w:val="000000"/>
                <w:lang w:val="en-GB" w:eastAsia="pl-PL"/>
              </w:rPr>
              <w:lastRenderedPageBreak/>
              <w:t xml:space="preserve">IV. </w:t>
            </w:r>
            <w:r w:rsidR="002F26F1" w:rsidRPr="00AF54EC">
              <w:rPr>
                <w:rFonts w:ascii="Calibri" w:eastAsia="Times New Roman" w:hAnsi="Calibri" w:cs="Calibri"/>
                <w:b/>
                <w:bCs/>
                <w:color w:val="000000"/>
                <w:lang w:val="en-GB" w:eastAsia="pl-PL"/>
              </w:rPr>
              <w:t xml:space="preserve"> Training and Development</w:t>
            </w:r>
          </w:p>
        </w:tc>
      </w:tr>
      <w:tr w:rsidR="002F26F1" w:rsidRPr="00CF74F2" w14:paraId="4A79B96E" w14:textId="77777777" w:rsidTr="005302CF">
        <w:trPr>
          <w:trHeight w:val="5599"/>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11A0D6A" w14:textId="77777777" w:rsidR="002F26F1" w:rsidRPr="00AF54EC" w:rsidRDefault="002F26F1" w:rsidP="002F26F1">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IV.1</w:t>
            </w:r>
          </w:p>
        </w:tc>
        <w:tc>
          <w:tcPr>
            <w:tcW w:w="209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1F817772" w14:textId="59B07549"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38. Continuing professional development</w:t>
            </w:r>
          </w:p>
        </w:tc>
        <w:tc>
          <w:tcPr>
            <w:tcW w:w="209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76A8059A" w14:textId="77777777" w:rsidR="002F26F1" w:rsidRPr="00AF54EC" w:rsidRDefault="002F26F1" w:rsidP="002F26F1">
            <w:pP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‘YES - Young Excellent Scientists Programme’ - to strengthen TUL's research and human capacity by building new research teams led by outstanding early-stage researchers from Poland and abroad </w:t>
            </w:r>
          </w:p>
          <w:p w14:paraId="44D02562" w14:textId="619044B0" w:rsidR="002F26F1" w:rsidRPr="00AF54EC" w:rsidRDefault="002F26F1" w:rsidP="002F26F1">
            <w:pPr>
              <w:spacing w:after="0" w:line="240" w:lineRule="auto"/>
              <w:rPr>
                <w:rFonts w:ascii="Calibri" w:eastAsia="Times New Roman" w:hAnsi="Calibri" w:cs="Calibri"/>
                <w:color w:val="000000"/>
                <w:lang w:val="en-GB" w:eastAsia="pl-PL"/>
              </w:rPr>
            </w:pPr>
          </w:p>
        </w:tc>
        <w:tc>
          <w:tcPr>
            <w:tcW w:w="1773"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036F9B2" w14:textId="0EFF05F6" w:rsidR="001C6632" w:rsidRPr="00AF54EC" w:rsidRDefault="001C6632" w:rsidP="002F26F1">
            <w:pPr>
              <w:spacing w:after="0" w:line="240" w:lineRule="auto"/>
              <w:rPr>
                <w:rFonts w:ascii="Calibri" w:eastAsia="Times New Roman" w:hAnsi="Calibri" w:cs="Calibri"/>
                <w:color w:val="000000"/>
                <w:lang w:val="en-GB" w:eastAsia="pl-PL"/>
              </w:rPr>
            </w:pPr>
            <w:r w:rsidRPr="001C6632">
              <w:rPr>
                <w:rFonts w:ascii="Calibri" w:eastAsia="Times New Roman" w:hAnsi="Calibri" w:cs="Calibri"/>
                <w:color w:val="000000"/>
                <w:lang w:val="en-GB" w:eastAsia="pl-PL"/>
              </w:rPr>
              <w:t>University Office for Science</w:t>
            </w:r>
          </w:p>
        </w:tc>
        <w:tc>
          <w:tcPr>
            <w:tcW w:w="201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815D404" w14:textId="10440682"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awardees + number of ERC (European Research Council) grant applications</w:t>
            </w:r>
          </w:p>
        </w:tc>
        <w:tc>
          <w:tcPr>
            <w:tcW w:w="2371"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87379B1" w14:textId="3394A1CC"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D1C46CE"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purpose of the action is to strengthen TUL's research and human capacity by building new research teams led by outstanding young researchers from Poland and abroad. </w:t>
            </w:r>
          </w:p>
          <w:p w14:paraId="40D54B9D"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programme is expected to lead to an improvement in the quality and internationalisation of research conducted at Lodz University of Technology, the development of new research specialisations at TUL, an increase in the number of international grant proposals submitted and won, in the number of open-access peer-reviewed publications of international impact, and finally, in the number of international and national patent applications. </w:t>
            </w:r>
          </w:p>
          <w:p w14:paraId="51C2ACC3"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p>
          <w:p w14:paraId="346A8FCE"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Further information about IDUB provided at </w:t>
            </w:r>
          </w:p>
          <w:p w14:paraId="6110542A" w14:textId="771B98F1"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https://konstytucjadlanauki.gov.pl/inicjatywa-doskonalosci-uczelnia-badawcza</w:t>
            </w:r>
          </w:p>
        </w:tc>
      </w:tr>
      <w:tr w:rsidR="002F26F1" w:rsidRPr="00CF74F2" w14:paraId="7B07E512" w14:textId="77777777" w:rsidTr="005302CF">
        <w:trPr>
          <w:trHeight w:val="4800"/>
        </w:trPr>
        <w:tc>
          <w:tcPr>
            <w:tcW w:w="585"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3ACB9990" w14:textId="77777777" w:rsidR="002F26F1" w:rsidRPr="00AF54EC" w:rsidRDefault="002F26F1" w:rsidP="002F26F1">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IV.2</w:t>
            </w:r>
          </w:p>
        </w:tc>
        <w:tc>
          <w:tcPr>
            <w:tcW w:w="20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CEF2AB" w14:textId="1C6AA212"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38.  Continuing professional development</w:t>
            </w:r>
          </w:p>
        </w:tc>
        <w:tc>
          <w:tcPr>
            <w:tcW w:w="209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405D4B" w14:textId="701D2030" w:rsidR="002F26F1" w:rsidRPr="00AF54EC" w:rsidRDefault="00FA2042" w:rsidP="002F26F1">
            <w:pPr>
              <w:spacing w:after="0" w:line="240" w:lineRule="auto"/>
              <w:rPr>
                <w:rFonts w:ascii="Calibri" w:eastAsia="Times New Roman" w:hAnsi="Calibri" w:cs="Calibri"/>
                <w:color w:val="000000"/>
                <w:lang w:val="en-GB" w:eastAsia="pl-PL"/>
              </w:rPr>
            </w:pPr>
            <w:r w:rsidRPr="004E7CA0">
              <w:rPr>
                <w:rFonts w:ascii="Calibri" w:eastAsia="Times New Roman" w:hAnsi="Calibri" w:cs="Calibri"/>
                <w:color w:val="000000"/>
                <w:lang w:val="en-GB" w:eastAsia="pl-PL"/>
              </w:rPr>
              <w:t>"FU</w:t>
            </w:r>
            <w:r w:rsidRPr="005302CF">
              <w:rPr>
                <w:rFonts w:ascii="Calibri" w:eastAsia="Times New Roman" w:hAnsi="Calibri" w:cs="Calibri"/>
                <w:color w:val="000000"/>
                <w:vertAlign w:val="superscript"/>
                <w:lang w:val="en-GB" w:eastAsia="pl-PL"/>
              </w:rPr>
              <w:t>2</w:t>
            </w:r>
            <w:r w:rsidRPr="004E7CA0">
              <w:rPr>
                <w:rFonts w:ascii="Calibri" w:eastAsia="Times New Roman" w:hAnsi="Calibri" w:cs="Calibri"/>
                <w:color w:val="000000"/>
                <w:lang w:val="en-GB" w:eastAsia="pl-PL"/>
              </w:rPr>
              <w:t xml:space="preserve">N - Fund for the Improvement of Young Scientists' Skills" </w:t>
            </w:r>
            <w:r w:rsidR="002F26F1" w:rsidRPr="004E7CA0">
              <w:rPr>
                <w:rFonts w:ascii="Calibri" w:eastAsia="Times New Roman" w:hAnsi="Calibri" w:cs="Calibri"/>
                <w:color w:val="000000"/>
                <w:lang w:val="en-GB" w:eastAsia="pl-PL"/>
              </w:rPr>
              <w:t>-</w:t>
            </w:r>
            <w:r w:rsidR="002F26F1" w:rsidRPr="00AF54EC">
              <w:rPr>
                <w:rFonts w:ascii="Calibri" w:eastAsia="Times New Roman" w:hAnsi="Calibri" w:cs="Calibri"/>
                <w:color w:val="000000"/>
                <w:lang w:val="en-GB" w:eastAsia="pl-PL"/>
              </w:rPr>
              <w:t xml:space="preserve"> to strengthen TUL's research and human capacity by </w:t>
            </w:r>
            <w:proofErr w:type="spellStart"/>
            <w:r w:rsidR="002F26F1" w:rsidRPr="00AF54EC">
              <w:rPr>
                <w:rFonts w:ascii="Calibri" w:eastAsia="Times New Roman" w:hAnsi="Calibri" w:cs="Calibri"/>
                <w:color w:val="000000"/>
                <w:lang w:val="en-GB" w:eastAsia="pl-PL"/>
              </w:rPr>
              <w:t>by</w:t>
            </w:r>
            <w:proofErr w:type="spellEnd"/>
            <w:r w:rsidR="002F26F1" w:rsidRPr="00AF54EC">
              <w:rPr>
                <w:rFonts w:ascii="Calibri" w:eastAsia="Times New Roman" w:hAnsi="Calibri" w:cs="Calibri"/>
                <w:color w:val="000000"/>
                <w:lang w:val="en-GB" w:eastAsia="pl-PL"/>
              </w:rPr>
              <w:t xml:space="preserve"> improving the skills of doctoral candidates and early-stage researchers to prepare research grant proposals for competitions held by external research funding institutions, and increasing proposal success rate</w:t>
            </w:r>
          </w:p>
        </w:tc>
        <w:tc>
          <w:tcPr>
            <w:tcW w:w="177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D47D18D" w14:textId="5220EAC1" w:rsidR="001C6632" w:rsidRPr="00AF54EC" w:rsidRDefault="001C6632" w:rsidP="002F26F1">
            <w:pPr>
              <w:spacing w:after="0" w:line="240" w:lineRule="auto"/>
              <w:rPr>
                <w:rFonts w:ascii="Calibri" w:eastAsia="Times New Roman" w:hAnsi="Calibri" w:cs="Calibri"/>
                <w:color w:val="000000"/>
                <w:lang w:val="en-GB" w:eastAsia="pl-PL"/>
              </w:rPr>
            </w:pPr>
            <w:r w:rsidRPr="001C6632">
              <w:rPr>
                <w:rFonts w:ascii="Calibri" w:eastAsia="Times New Roman" w:hAnsi="Calibri" w:cs="Calibri"/>
                <w:color w:val="000000"/>
                <w:lang w:val="en-GB" w:eastAsia="pl-PL"/>
              </w:rPr>
              <w:t>University Office for Science</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3ED6C2" w14:textId="2103796C"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internal grants awarded</w:t>
            </w:r>
          </w:p>
        </w:tc>
        <w:tc>
          <w:tcPr>
            <w:tcW w:w="23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17D5B" w14:textId="0631F9E4" w:rsidR="002F26F1" w:rsidRPr="00AF54EC" w:rsidRDefault="002F26F1" w:rsidP="002F26F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8C7B5E"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following are eligible to apply for internal grants:</w:t>
            </w:r>
          </w:p>
          <w:p w14:paraId="6365CEA4"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 doctoral candidates in their first or second year at the Interdisciplinary Doctoral School of Lodz University of Technology; </w:t>
            </w:r>
          </w:p>
          <w:p w14:paraId="53B54F68"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 early-stage researchers - i.e. academic staff in the group of research or research and teaching staff of Lodz University of Technology for whom Lodz University of Technology is the primary employer and who were awarded their doctoral degree at least 5 years prior to the submission of the internal grant proposal.   </w:t>
            </w:r>
          </w:p>
          <w:p w14:paraId="6DB41CD9"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p>
          <w:p w14:paraId="31C3A965" w14:textId="77777777"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Further information about IDUB provided at </w:t>
            </w:r>
          </w:p>
          <w:p w14:paraId="79F304B1" w14:textId="3A464535" w:rsidR="002F26F1" w:rsidRPr="00AF54EC" w:rsidRDefault="002F26F1" w:rsidP="002F26F1">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https://konstytucjadlanauki.gov.pl/inicjatywa-doskonalosci-uczelnia-badawcza</w:t>
            </w:r>
          </w:p>
        </w:tc>
      </w:tr>
      <w:tr w:rsidR="00C019F2" w:rsidRPr="00CF74F2" w14:paraId="044D8767" w14:textId="77777777" w:rsidTr="005302CF">
        <w:trPr>
          <w:trHeight w:val="1099"/>
        </w:trPr>
        <w:tc>
          <w:tcPr>
            <w:tcW w:w="585" w:type="dxa"/>
            <w:vMerge w:val="restart"/>
            <w:tcBorders>
              <w:top w:val="single" w:sz="8" w:space="0" w:color="auto"/>
              <w:left w:val="single" w:sz="8" w:space="0" w:color="auto"/>
              <w:bottom w:val="single" w:sz="8" w:space="0" w:color="auto"/>
              <w:right w:val="single" w:sz="8" w:space="0" w:color="auto"/>
            </w:tcBorders>
            <w:shd w:val="clear" w:color="000000" w:fill="BFBFBF"/>
            <w:vAlign w:val="center"/>
            <w:hideMark/>
          </w:tcPr>
          <w:p w14:paraId="78EBDD98" w14:textId="77777777" w:rsidR="00C019F2" w:rsidRPr="00AF54EC" w:rsidRDefault="00C019F2" w:rsidP="00C019F2">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IV.3</w:t>
            </w:r>
          </w:p>
        </w:tc>
        <w:tc>
          <w:tcPr>
            <w:tcW w:w="20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0BA10C61" w14:textId="445B42F0"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38.  Continuing professional development</w:t>
            </w:r>
          </w:p>
        </w:tc>
        <w:tc>
          <w:tcPr>
            <w:tcW w:w="20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C6497F7" w14:textId="047E39BA"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Industrial study visits</w:t>
            </w:r>
          </w:p>
        </w:tc>
        <w:tc>
          <w:tcPr>
            <w:tcW w:w="1773"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7A26B771" w14:textId="11438F5D" w:rsidR="00C019F2" w:rsidRPr="00AF54EC" w:rsidRDefault="00CB01B9"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Interdisciplinary Doctoral School</w:t>
            </w: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586CA7" w14:textId="7F6F6D29"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Number of study visits </w:t>
            </w:r>
          </w:p>
        </w:tc>
        <w:tc>
          <w:tcPr>
            <w:tcW w:w="2371"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D4D0D38" w14:textId="6A147DE2"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B39269E" w14:textId="734C162B" w:rsidR="00C019F2" w:rsidRPr="00AF54EC" w:rsidRDefault="00C019F2" w:rsidP="00C019F2">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The activity, carried out in cooperation with the Doctoral </w:t>
            </w:r>
            <w:r w:rsidR="00CB01B9" w:rsidRPr="00AF54EC">
              <w:rPr>
                <w:rFonts w:ascii="Calibri" w:eastAsia="Times New Roman" w:hAnsi="Calibri" w:cs="Calibri"/>
                <w:color w:val="000000"/>
                <w:lang w:val="en-GB" w:eastAsia="pl-PL"/>
              </w:rPr>
              <w:t>Students Government</w:t>
            </w:r>
            <w:r w:rsidRPr="00AF54EC">
              <w:rPr>
                <w:rFonts w:ascii="Calibri" w:eastAsia="Times New Roman" w:hAnsi="Calibri" w:cs="Calibri"/>
                <w:color w:val="000000"/>
                <w:lang w:val="en-GB" w:eastAsia="pl-PL"/>
              </w:rPr>
              <w:t>, aims to familiarize visit participants with businesses and their projects, and with work organization. The visits will also allow the participants to establish cooperation between science and business.</w:t>
            </w:r>
          </w:p>
          <w:p w14:paraId="40011348" w14:textId="2F2E3878" w:rsidR="00C019F2" w:rsidRPr="00AF54EC" w:rsidRDefault="00C019F2" w:rsidP="00C019F2">
            <w:pPr>
              <w:spacing w:after="0" w:line="240" w:lineRule="auto"/>
              <w:jc w:val="both"/>
              <w:rPr>
                <w:rFonts w:ascii="Calibri" w:eastAsia="Times New Roman" w:hAnsi="Calibri" w:cs="Calibri"/>
                <w:color w:val="000000"/>
                <w:lang w:val="en-GB" w:eastAsia="pl-PL"/>
              </w:rPr>
            </w:pPr>
          </w:p>
        </w:tc>
      </w:tr>
      <w:tr w:rsidR="00213038" w:rsidRPr="00AF54EC" w14:paraId="32552072" w14:textId="77777777" w:rsidTr="005302CF">
        <w:trPr>
          <w:trHeight w:val="1099"/>
        </w:trPr>
        <w:tc>
          <w:tcPr>
            <w:tcW w:w="585" w:type="dxa"/>
            <w:vMerge/>
            <w:tcBorders>
              <w:top w:val="single" w:sz="8" w:space="0" w:color="auto"/>
              <w:left w:val="single" w:sz="8" w:space="0" w:color="auto"/>
              <w:bottom w:val="single" w:sz="8" w:space="0" w:color="auto"/>
              <w:right w:val="single" w:sz="8" w:space="0" w:color="auto"/>
            </w:tcBorders>
            <w:vAlign w:val="center"/>
            <w:hideMark/>
          </w:tcPr>
          <w:p w14:paraId="2D503085"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9" w:type="dxa"/>
            <w:vMerge/>
            <w:tcBorders>
              <w:top w:val="single" w:sz="8" w:space="0" w:color="auto"/>
              <w:left w:val="single" w:sz="8" w:space="0" w:color="auto"/>
              <w:bottom w:val="single" w:sz="8" w:space="0" w:color="auto"/>
              <w:right w:val="single" w:sz="8" w:space="0" w:color="auto"/>
            </w:tcBorders>
            <w:vAlign w:val="center"/>
            <w:hideMark/>
          </w:tcPr>
          <w:p w14:paraId="78621755"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6" w:type="dxa"/>
            <w:vMerge/>
            <w:tcBorders>
              <w:top w:val="single" w:sz="8" w:space="0" w:color="auto"/>
              <w:left w:val="single" w:sz="8" w:space="0" w:color="auto"/>
              <w:bottom w:val="single" w:sz="8" w:space="0" w:color="auto"/>
              <w:right w:val="single" w:sz="8" w:space="0" w:color="auto"/>
            </w:tcBorders>
            <w:vAlign w:val="center"/>
            <w:hideMark/>
          </w:tcPr>
          <w:p w14:paraId="662620D9"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1773" w:type="dxa"/>
            <w:vMerge/>
            <w:tcBorders>
              <w:top w:val="single" w:sz="8" w:space="0" w:color="auto"/>
              <w:left w:val="single" w:sz="8" w:space="0" w:color="auto"/>
              <w:bottom w:val="single" w:sz="8" w:space="0" w:color="auto"/>
              <w:right w:val="single" w:sz="8" w:space="0" w:color="auto"/>
            </w:tcBorders>
            <w:vAlign w:val="center"/>
            <w:hideMark/>
          </w:tcPr>
          <w:p w14:paraId="5FC7002B"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1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5E5B91" w14:textId="60900143" w:rsidR="00213038" w:rsidRPr="00AF54EC" w:rsidRDefault="00C019F2" w:rsidP="0077603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participants</w:t>
            </w:r>
          </w:p>
        </w:tc>
        <w:tc>
          <w:tcPr>
            <w:tcW w:w="2371" w:type="dxa"/>
            <w:vMerge/>
            <w:tcBorders>
              <w:top w:val="single" w:sz="8" w:space="0" w:color="auto"/>
              <w:left w:val="single" w:sz="8" w:space="0" w:color="auto"/>
              <w:bottom w:val="single" w:sz="8" w:space="0" w:color="auto"/>
              <w:right w:val="single" w:sz="8" w:space="0" w:color="auto"/>
            </w:tcBorders>
            <w:vAlign w:val="center"/>
            <w:hideMark/>
          </w:tcPr>
          <w:p w14:paraId="6EEBC3BB"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5356" w:type="dxa"/>
            <w:vMerge/>
            <w:tcBorders>
              <w:top w:val="single" w:sz="8" w:space="0" w:color="auto"/>
              <w:left w:val="single" w:sz="8" w:space="0" w:color="auto"/>
              <w:bottom w:val="single" w:sz="8" w:space="0" w:color="auto"/>
              <w:right w:val="single" w:sz="8" w:space="0" w:color="auto"/>
            </w:tcBorders>
            <w:vAlign w:val="center"/>
            <w:hideMark/>
          </w:tcPr>
          <w:p w14:paraId="65C0D916" w14:textId="77777777" w:rsidR="00213038" w:rsidRPr="00AF54EC" w:rsidRDefault="00213038" w:rsidP="00213038">
            <w:pPr>
              <w:spacing w:after="0" w:line="240" w:lineRule="auto"/>
              <w:jc w:val="both"/>
              <w:rPr>
                <w:rFonts w:ascii="Calibri" w:eastAsia="Times New Roman" w:hAnsi="Calibri" w:cs="Calibri"/>
                <w:color w:val="000000"/>
                <w:lang w:val="en-GB" w:eastAsia="pl-PL"/>
              </w:rPr>
            </w:pPr>
          </w:p>
        </w:tc>
      </w:tr>
      <w:tr w:rsidR="00C019F2" w:rsidRPr="00CF74F2" w14:paraId="0E57DAE5" w14:textId="77777777" w:rsidTr="005302CF">
        <w:trPr>
          <w:trHeight w:val="799"/>
        </w:trPr>
        <w:tc>
          <w:tcPr>
            <w:tcW w:w="585" w:type="dxa"/>
            <w:vMerge w:val="restart"/>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06CA8E22" w14:textId="77777777" w:rsidR="00C019F2" w:rsidRPr="00AF54EC" w:rsidRDefault="00C019F2" w:rsidP="00C019F2">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IV.4</w:t>
            </w:r>
          </w:p>
        </w:tc>
        <w:tc>
          <w:tcPr>
            <w:tcW w:w="2099"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3BB643A" w14:textId="13F8FBA8"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39. Access to research training and </w:t>
            </w:r>
            <w:r w:rsidRPr="00AF54EC">
              <w:rPr>
                <w:rFonts w:ascii="Calibri" w:eastAsia="Times New Roman" w:hAnsi="Calibri" w:cs="Calibri"/>
                <w:color w:val="000000"/>
                <w:lang w:val="en-GB" w:eastAsia="pl-PL"/>
              </w:rPr>
              <w:lastRenderedPageBreak/>
              <w:t>continuous development</w:t>
            </w:r>
          </w:p>
        </w:tc>
        <w:tc>
          <w:tcPr>
            <w:tcW w:w="209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700CF8C" w14:textId="5DA96BFB"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 xml:space="preserve">Training sessions for researchers on the </w:t>
            </w:r>
            <w:r w:rsidRPr="00AF54EC">
              <w:rPr>
                <w:rFonts w:ascii="Calibri" w:eastAsia="Times New Roman" w:hAnsi="Calibri" w:cs="Calibri"/>
                <w:color w:val="000000"/>
                <w:lang w:val="en-GB" w:eastAsia="pl-PL"/>
              </w:rPr>
              <w:lastRenderedPageBreak/>
              <w:t>dissemination of research results and achievements</w:t>
            </w:r>
          </w:p>
        </w:tc>
        <w:tc>
          <w:tcPr>
            <w:tcW w:w="1773"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271CD5" w14:textId="08686856"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Media and Communications Office</w:t>
            </w:r>
          </w:p>
        </w:tc>
        <w:tc>
          <w:tcPr>
            <w:tcW w:w="20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889CB3A" w14:textId="1E6D0806"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training sessions completed</w:t>
            </w:r>
          </w:p>
        </w:tc>
        <w:tc>
          <w:tcPr>
            <w:tcW w:w="2371"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466496" w14:textId="5368E0FD"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6C8D9346" w14:textId="11863FF1" w:rsidR="00C019F2" w:rsidRPr="00AF54EC" w:rsidRDefault="00C019F2" w:rsidP="00C019F2">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objective is to train researchers in message formulation, self-presentation, and communication with the media.</w:t>
            </w:r>
          </w:p>
        </w:tc>
      </w:tr>
      <w:tr w:rsidR="00213038" w:rsidRPr="00AF54EC" w14:paraId="10B88347" w14:textId="77777777" w:rsidTr="005302CF">
        <w:trPr>
          <w:trHeight w:val="799"/>
        </w:trPr>
        <w:tc>
          <w:tcPr>
            <w:tcW w:w="585" w:type="dxa"/>
            <w:vMerge/>
            <w:tcBorders>
              <w:top w:val="single" w:sz="8" w:space="0" w:color="auto"/>
              <w:left w:val="single" w:sz="4" w:space="0" w:color="auto"/>
              <w:bottom w:val="single" w:sz="4" w:space="0" w:color="auto"/>
              <w:right w:val="single" w:sz="4" w:space="0" w:color="auto"/>
            </w:tcBorders>
            <w:vAlign w:val="center"/>
            <w:hideMark/>
          </w:tcPr>
          <w:p w14:paraId="5B753D69"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9" w:type="dxa"/>
            <w:vMerge/>
            <w:tcBorders>
              <w:top w:val="single" w:sz="8" w:space="0" w:color="auto"/>
              <w:left w:val="single" w:sz="4" w:space="0" w:color="auto"/>
              <w:bottom w:val="single" w:sz="8" w:space="0" w:color="000000"/>
              <w:right w:val="single" w:sz="8" w:space="0" w:color="auto"/>
            </w:tcBorders>
            <w:vAlign w:val="center"/>
            <w:hideMark/>
          </w:tcPr>
          <w:p w14:paraId="3BC1C427"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96" w:type="dxa"/>
            <w:vMerge/>
            <w:tcBorders>
              <w:top w:val="single" w:sz="8" w:space="0" w:color="auto"/>
              <w:left w:val="single" w:sz="8" w:space="0" w:color="auto"/>
              <w:bottom w:val="single" w:sz="8" w:space="0" w:color="000000"/>
              <w:right w:val="single" w:sz="8" w:space="0" w:color="auto"/>
            </w:tcBorders>
            <w:vAlign w:val="center"/>
            <w:hideMark/>
          </w:tcPr>
          <w:p w14:paraId="138EF24C"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1773" w:type="dxa"/>
            <w:vMerge/>
            <w:tcBorders>
              <w:top w:val="single" w:sz="8" w:space="0" w:color="auto"/>
              <w:left w:val="single" w:sz="8" w:space="0" w:color="auto"/>
              <w:bottom w:val="single" w:sz="8" w:space="0" w:color="000000"/>
              <w:right w:val="single" w:sz="8" w:space="0" w:color="auto"/>
            </w:tcBorders>
            <w:vAlign w:val="center"/>
            <w:hideMark/>
          </w:tcPr>
          <w:p w14:paraId="6DF21730"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2012" w:type="dxa"/>
            <w:tcBorders>
              <w:top w:val="single" w:sz="8" w:space="0" w:color="auto"/>
              <w:left w:val="nil"/>
              <w:bottom w:val="single" w:sz="8" w:space="0" w:color="auto"/>
              <w:right w:val="single" w:sz="8" w:space="0" w:color="auto"/>
            </w:tcBorders>
            <w:shd w:val="clear" w:color="auto" w:fill="auto"/>
            <w:noWrap/>
            <w:vAlign w:val="center"/>
            <w:hideMark/>
          </w:tcPr>
          <w:p w14:paraId="7B707482" w14:textId="5E743612" w:rsidR="00213038" w:rsidRPr="00AF54EC" w:rsidRDefault="00C019F2" w:rsidP="00776031">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participants</w:t>
            </w:r>
          </w:p>
        </w:tc>
        <w:tc>
          <w:tcPr>
            <w:tcW w:w="2371" w:type="dxa"/>
            <w:vMerge/>
            <w:tcBorders>
              <w:top w:val="single" w:sz="8" w:space="0" w:color="auto"/>
              <w:left w:val="single" w:sz="8" w:space="0" w:color="auto"/>
              <w:bottom w:val="single" w:sz="8" w:space="0" w:color="000000"/>
              <w:right w:val="single" w:sz="8" w:space="0" w:color="auto"/>
            </w:tcBorders>
            <w:vAlign w:val="center"/>
            <w:hideMark/>
          </w:tcPr>
          <w:p w14:paraId="2432AAF8" w14:textId="77777777" w:rsidR="00213038" w:rsidRPr="00AF54EC" w:rsidRDefault="00213038" w:rsidP="00776031">
            <w:pPr>
              <w:spacing w:after="0" w:line="240" w:lineRule="auto"/>
              <w:rPr>
                <w:rFonts w:ascii="Calibri" w:eastAsia="Times New Roman" w:hAnsi="Calibri" w:cs="Calibri"/>
                <w:color w:val="000000"/>
                <w:lang w:val="en-GB" w:eastAsia="pl-PL"/>
              </w:rPr>
            </w:pPr>
          </w:p>
        </w:tc>
        <w:tc>
          <w:tcPr>
            <w:tcW w:w="5356" w:type="dxa"/>
            <w:vMerge/>
            <w:tcBorders>
              <w:top w:val="single" w:sz="8" w:space="0" w:color="auto"/>
              <w:left w:val="single" w:sz="8" w:space="0" w:color="auto"/>
              <w:bottom w:val="single" w:sz="8" w:space="0" w:color="000000"/>
              <w:right w:val="single" w:sz="8" w:space="0" w:color="auto"/>
            </w:tcBorders>
            <w:vAlign w:val="center"/>
            <w:hideMark/>
          </w:tcPr>
          <w:p w14:paraId="46D5BCCB" w14:textId="77777777" w:rsidR="00213038" w:rsidRPr="00AF54EC" w:rsidRDefault="00213038" w:rsidP="00213038">
            <w:pPr>
              <w:spacing w:after="0" w:line="240" w:lineRule="auto"/>
              <w:jc w:val="both"/>
              <w:rPr>
                <w:rFonts w:ascii="Calibri" w:eastAsia="Times New Roman" w:hAnsi="Calibri" w:cs="Calibri"/>
                <w:color w:val="000000"/>
                <w:lang w:val="en-GB" w:eastAsia="pl-PL"/>
              </w:rPr>
            </w:pPr>
          </w:p>
        </w:tc>
      </w:tr>
      <w:tr w:rsidR="00C019F2" w:rsidRPr="00CF74F2" w14:paraId="42B3AF9A" w14:textId="77777777" w:rsidTr="00964E4B">
        <w:trPr>
          <w:trHeight w:val="1200"/>
        </w:trPr>
        <w:tc>
          <w:tcPr>
            <w:tcW w:w="585" w:type="dxa"/>
            <w:vMerge w:val="restart"/>
            <w:tcBorders>
              <w:top w:val="single" w:sz="4" w:space="0" w:color="auto"/>
              <w:left w:val="single" w:sz="8" w:space="0" w:color="auto"/>
              <w:bottom w:val="single" w:sz="8" w:space="0" w:color="000000"/>
              <w:right w:val="single" w:sz="8" w:space="0" w:color="auto"/>
            </w:tcBorders>
            <w:shd w:val="clear" w:color="000000" w:fill="BFBFBF"/>
            <w:noWrap/>
            <w:vAlign w:val="center"/>
            <w:hideMark/>
          </w:tcPr>
          <w:p w14:paraId="1190F1DE" w14:textId="77777777" w:rsidR="00C019F2" w:rsidRPr="00AF54EC" w:rsidRDefault="00C019F2" w:rsidP="00C019F2">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IV.5</w:t>
            </w:r>
          </w:p>
        </w:tc>
        <w:tc>
          <w:tcPr>
            <w:tcW w:w="2099" w:type="dxa"/>
            <w:vMerge w:val="restart"/>
            <w:tcBorders>
              <w:top w:val="nil"/>
              <w:left w:val="single" w:sz="8" w:space="0" w:color="auto"/>
              <w:bottom w:val="single" w:sz="8" w:space="0" w:color="000000"/>
              <w:right w:val="single" w:sz="8" w:space="0" w:color="auto"/>
            </w:tcBorders>
            <w:shd w:val="clear" w:color="auto" w:fill="auto"/>
            <w:vAlign w:val="center"/>
            <w:hideMark/>
          </w:tcPr>
          <w:p w14:paraId="009B9889" w14:textId="3DF9E05A"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39.  Access to research training and continuous development</w:t>
            </w:r>
          </w:p>
        </w:tc>
        <w:tc>
          <w:tcPr>
            <w:tcW w:w="2096" w:type="dxa"/>
            <w:vMerge w:val="restart"/>
            <w:tcBorders>
              <w:top w:val="nil"/>
              <w:left w:val="single" w:sz="8" w:space="0" w:color="auto"/>
              <w:bottom w:val="single" w:sz="8" w:space="0" w:color="000000"/>
              <w:right w:val="single" w:sz="8" w:space="0" w:color="auto"/>
            </w:tcBorders>
            <w:shd w:val="clear" w:color="auto" w:fill="auto"/>
            <w:vAlign w:val="center"/>
            <w:hideMark/>
          </w:tcPr>
          <w:p w14:paraId="6C376CCD" w14:textId="211B6B07" w:rsidR="00C019F2" w:rsidRPr="00AF54EC" w:rsidRDefault="00C019F2" w:rsidP="00C019F2">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Specialized training on commercialization and knowledge transfer, and intellectual property protection (continued action)</w:t>
            </w:r>
          </w:p>
        </w:tc>
        <w:tc>
          <w:tcPr>
            <w:tcW w:w="1773" w:type="dxa"/>
            <w:vMerge w:val="restart"/>
            <w:tcBorders>
              <w:top w:val="nil"/>
              <w:left w:val="single" w:sz="8" w:space="0" w:color="auto"/>
              <w:bottom w:val="single" w:sz="8" w:space="0" w:color="000000"/>
              <w:right w:val="single" w:sz="8" w:space="0" w:color="auto"/>
            </w:tcBorders>
            <w:shd w:val="clear" w:color="auto" w:fill="auto"/>
            <w:vAlign w:val="center"/>
            <w:hideMark/>
          </w:tcPr>
          <w:p w14:paraId="47ACA993" w14:textId="77777777" w:rsidR="00C019F2" w:rsidRPr="00AF54EC" w:rsidRDefault="00C019F2" w:rsidP="00C019F2">
            <w:pPr>
              <w:spacing w:after="0" w:line="240" w:lineRule="auto"/>
              <w:rPr>
                <w:lang w:val="en-GB"/>
              </w:rPr>
            </w:pPr>
            <w:r w:rsidRPr="00AF54EC">
              <w:rPr>
                <w:lang w:val="en-GB"/>
              </w:rPr>
              <w:t>Centre for Innovation and Entrepreneurship</w:t>
            </w:r>
          </w:p>
          <w:p w14:paraId="2555D4AF" w14:textId="1C0F0E45" w:rsidR="00C019F2" w:rsidRPr="00AF54EC" w:rsidRDefault="00C019F2" w:rsidP="00C019F2">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(Technology Transfer Section and Patent Attorneys’ Office)</w:t>
            </w:r>
          </w:p>
        </w:tc>
        <w:tc>
          <w:tcPr>
            <w:tcW w:w="2012" w:type="dxa"/>
            <w:tcBorders>
              <w:top w:val="nil"/>
              <w:left w:val="nil"/>
              <w:bottom w:val="single" w:sz="8" w:space="0" w:color="auto"/>
              <w:right w:val="single" w:sz="8" w:space="0" w:color="auto"/>
            </w:tcBorders>
            <w:shd w:val="clear" w:color="auto" w:fill="auto"/>
            <w:noWrap/>
            <w:vAlign w:val="center"/>
            <w:hideMark/>
          </w:tcPr>
          <w:p w14:paraId="68CD0547" w14:textId="7DFA1114"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training sessions</w:t>
            </w:r>
          </w:p>
        </w:tc>
        <w:tc>
          <w:tcPr>
            <w:tcW w:w="23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C506E7B" w14:textId="77777777"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vMerge w:val="restart"/>
            <w:tcBorders>
              <w:top w:val="nil"/>
              <w:left w:val="single" w:sz="8" w:space="0" w:color="auto"/>
              <w:bottom w:val="single" w:sz="8" w:space="0" w:color="000000"/>
              <w:right w:val="single" w:sz="8" w:space="0" w:color="auto"/>
            </w:tcBorders>
            <w:shd w:val="clear" w:color="auto" w:fill="auto"/>
            <w:vAlign w:val="center"/>
            <w:hideMark/>
          </w:tcPr>
          <w:p w14:paraId="54AB178F" w14:textId="7F8740EA" w:rsidR="00C019F2" w:rsidRPr="00AF54EC" w:rsidRDefault="00C019F2" w:rsidP="00C019F2">
            <w:pPr>
              <w:spacing w:after="0" w:line="240" w:lineRule="auto"/>
              <w:jc w:val="both"/>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The goal is to raise the competence and understanding among the staff with respect to technology commercialization, intellectual property protection, and effective cooperation of business and science. The action is particularly important due to opportunities to secure external funding (including from EU funds) for research projects carried out collaboratively by business and the academia, with the issues of IP protection and management of research results required to be specifically regulated already at the stage of the grant application.</w:t>
            </w:r>
          </w:p>
        </w:tc>
      </w:tr>
      <w:tr w:rsidR="00C019F2" w:rsidRPr="00AF54EC" w14:paraId="39885B2D" w14:textId="77777777" w:rsidTr="00527DB3">
        <w:trPr>
          <w:trHeight w:val="1200"/>
        </w:trPr>
        <w:tc>
          <w:tcPr>
            <w:tcW w:w="585" w:type="dxa"/>
            <w:vMerge/>
            <w:tcBorders>
              <w:top w:val="nil"/>
              <w:left w:val="single" w:sz="8" w:space="0" w:color="auto"/>
              <w:bottom w:val="single" w:sz="8" w:space="0" w:color="000000"/>
              <w:right w:val="single" w:sz="8" w:space="0" w:color="auto"/>
            </w:tcBorders>
            <w:vAlign w:val="center"/>
            <w:hideMark/>
          </w:tcPr>
          <w:p w14:paraId="02647AF2"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2099" w:type="dxa"/>
            <w:vMerge/>
            <w:tcBorders>
              <w:top w:val="nil"/>
              <w:left w:val="single" w:sz="8" w:space="0" w:color="auto"/>
              <w:bottom w:val="single" w:sz="8" w:space="0" w:color="000000"/>
              <w:right w:val="single" w:sz="8" w:space="0" w:color="auto"/>
            </w:tcBorders>
            <w:vAlign w:val="center"/>
            <w:hideMark/>
          </w:tcPr>
          <w:p w14:paraId="63CD3AC7"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2096" w:type="dxa"/>
            <w:vMerge/>
            <w:tcBorders>
              <w:top w:val="nil"/>
              <w:left w:val="single" w:sz="8" w:space="0" w:color="auto"/>
              <w:bottom w:val="single" w:sz="8" w:space="0" w:color="000000"/>
              <w:right w:val="single" w:sz="8" w:space="0" w:color="auto"/>
            </w:tcBorders>
            <w:vAlign w:val="center"/>
            <w:hideMark/>
          </w:tcPr>
          <w:p w14:paraId="5354CC38" w14:textId="77777777" w:rsidR="00C019F2" w:rsidRPr="00AF54EC" w:rsidRDefault="00C019F2" w:rsidP="00C019F2">
            <w:pPr>
              <w:spacing w:after="0" w:line="240" w:lineRule="auto"/>
              <w:rPr>
                <w:rFonts w:ascii="Calibri" w:eastAsia="Times New Roman" w:hAnsi="Calibri" w:cs="Calibri"/>
                <w:lang w:val="en-GB" w:eastAsia="pl-PL"/>
              </w:rPr>
            </w:pPr>
          </w:p>
        </w:tc>
        <w:tc>
          <w:tcPr>
            <w:tcW w:w="1773" w:type="dxa"/>
            <w:vMerge/>
            <w:tcBorders>
              <w:top w:val="nil"/>
              <w:left w:val="single" w:sz="8" w:space="0" w:color="auto"/>
              <w:bottom w:val="single" w:sz="8" w:space="0" w:color="000000"/>
              <w:right w:val="single" w:sz="8" w:space="0" w:color="auto"/>
            </w:tcBorders>
            <w:vAlign w:val="center"/>
            <w:hideMark/>
          </w:tcPr>
          <w:p w14:paraId="772B6EB6" w14:textId="77777777" w:rsidR="00C019F2" w:rsidRPr="00AF54EC" w:rsidRDefault="00C019F2" w:rsidP="00C019F2">
            <w:pPr>
              <w:spacing w:after="0" w:line="240" w:lineRule="auto"/>
              <w:rPr>
                <w:rFonts w:ascii="Calibri" w:eastAsia="Times New Roman" w:hAnsi="Calibri" w:cs="Calibri"/>
                <w:lang w:val="en-GB" w:eastAsia="pl-PL"/>
              </w:rPr>
            </w:pPr>
          </w:p>
        </w:tc>
        <w:tc>
          <w:tcPr>
            <w:tcW w:w="2012" w:type="dxa"/>
            <w:tcBorders>
              <w:top w:val="nil"/>
              <w:left w:val="nil"/>
              <w:bottom w:val="single" w:sz="8" w:space="0" w:color="auto"/>
              <w:right w:val="single" w:sz="8" w:space="0" w:color="auto"/>
            </w:tcBorders>
            <w:shd w:val="clear" w:color="auto" w:fill="auto"/>
            <w:noWrap/>
            <w:vAlign w:val="center"/>
            <w:hideMark/>
          </w:tcPr>
          <w:p w14:paraId="58432B4F" w14:textId="087E7465"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participants</w:t>
            </w:r>
          </w:p>
        </w:tc>
        <w:tc>
          <w:tcPr>
            <w:tcW w:w="2371" w:type="dxa"/>
            <w:vMerge/>
            <w:tcBorders>
              <w:top w:val="nil"/>
              <w:left w:val="single" w:sz="8" w:space="0" w:color="auto"/>
              <w:bottom w:val="single" w:sz="8" w:space="0" w:color="000000"/>
              <w:right w:val="single" w:sz="8" w:space="0" w:color="auto"/>
            </w:tcBorders>
            <w:vAlign w:val="center"/>
            <w:hideMark/>
          </w:tcPr>
          <w:p w14:paraId="23E164D2"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5356" w:type="dxa"/>
            <w:vMerge/>
            <w:tcBorders>
              <w:top w:val="nil"/>
              <w:left w:val="single" w:sz="8" w:space="0" w:color="auto"/>
              <w:bottom w:val="single" w:sz="8" w:space="0" w:color="000000"/>
              <w:right w:val="single" w:sz="8" w:space="0" w:color="auto"/>
            </w:tcBorders>
            <w:vAlign w:val="center"/>
            <w:hideMark/>
          </w:tcPr>
          <w:p w14:paraId="18E58E14" w14:textId="77777777" w:rsidR="00C019F2" w:rsidRPr="00AF54EC" w:rsidRDefault="00C019F2" w:rsidP="00C019F2">
            <w:pPr>
              <w:spacing w:after="0" w:line="240" w:lineRule="auto"/>
              <w:jc w:val="both"/>
              <w:rPr>
                <w:rFonts w:ascii="Calibri" w:eastAsia="Times New Roman" w:hAnsi="Calibri" w:cs="Calibri"/>
                <w:color w:val="000000"/>
                <w:lang w:val="en-GB" w:eastAsia="pl-PL"/>
              </w:rPr>
            </w:pPr>
          </w:p>
        </w:tc>
      </w:tr>
      <w:tr w:rsidR="00C019F2" w:rsidRPr="00AF54EC" w14:paraId="52BFF676" w14:textId="77777777" w:rsidTr="00F06343">
        <w:trPr>
          <w:trHeight w:val="1200"/>
        </w:trPr>
        <w:tc>
          <w:tcPr>
            <w:tcW w:w="585" w:type="dxa"/>
            <w:vMerge/>
            <w:tcBorders>
              <w:top w:val="nil"/>
              <w:left w:val="single" w:sz="8" w:space="0" w:color="auto"/>
              <w:bottom w:val="single" w:sz="8" w:space="0" w:color="auto"/>
              <w:right w:val="single" w:sz="8" w:space="0" w:color="auto"/>
            </w:tcBorders>
            <w:vAlign w:val="center"/>
            <w:hideMark/>
          </w:tcPr>
          <w:p w14:paraId="3F1E92E2"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2099" w:type="dxa"/>
            <w:vMerge/>
            <w:tcBorders>
              <w:top w:val="nil"/>
              <w:left w:val="single" w:sz="8" w:space="0" w:color="auto"/>
              <w:bottom w:val="single" w:sz="8" w:space="0" w:color="auto"/>
              <w:right w:val="single" w:sz="8" w:space="0" w:color="auto"/>
            </w:tcBorders>
            <w:vAlign w:val="center"/>
            <w:hideMark/>
          </w:tcPr>
          <w:p w14:paraId="12F5B129"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2096" w:type="dxa"/>
            <w:vMerge/>
            <w:tcBorders>
              <w:top w:val="nil"/>
              <w:left w:val="single" w:sz="8" w:space="0" w:color="auto"/>
              <w:bottom w:val="single" w:sz="8" w:space="0" w:color="auto"/>
              <w:right w:val="single" w:sz="8" w:space="0" w:color="auto"/>
            </w:tcBorders>
            <w:vAlign w:val="center"/>
            <w:hideMark/>
          </w:tcPr>
          <w:p w14:paraId="769A2930" w14:textId="77777777" w:rsidR="00C019F2" w:rsidRPr="00AF54EC" w:rsidRDefault="00C019F2" w:rsidP="00C019F2">
            <w:pPr>
              <w:spacing w:after="0" w:line="240" w:lineRule="auto"/>
              <w:rPr>
                <w:rFonts w:ascii="Calibri" w:eastAsia="Times New Roman" w:hAnsi="Calibri" w:cs="Calibri"/>
                <w:lang w:val="en-GB" w:eastAsia="pl-PL"/>
              </w:rPr>
            </w:pPr>
          </w:p>
        </w:tc>
        <w:tc>
          <w:tcPr>
            <w:tcW w:w="1773" w:type="dxa"/>
            <w:vMerge/>
            <w:tcBorders>
              <w:top w:val="nil"/>
              <w:left w:val="single" w:sz="8" w:space="0" w:color="auto"/>
              <w:bottom w:val="single" w:sz="8" w:space="0" w:color="auto"/>
              <w:right w:val="single" w:sz="8" w:space="0" w:color="auto"/>
            </w:tcBorders>
            <w:vAlign w:val="center"/>
            <w:hideMark/>
          </w:tcPr>
          <w:p w14:paraId="132B1897" w14:textId="77777777" w:rsidR="00C019F2" w:rsidRPr="00AF54EC" w:rsidRDefault="00C019F2" w:rsidP="00C019F2">
            <w:pPr>
              <w:spacing w:after="0" w:line="240" w:lineRule="auto"/>
              <w:rPr>
                <w:rFonts w:ascii="Calibri" w:eastAsia="Times New Roman" w:hAnsi="Calibri" w:cs="Calibri"/>
                <w:lang w:val="en-GB" w:eastAsia="pl-PL"/>
              </w:rPr>
            </w:pPr>
          </w:p>
        </w:tc>
        <w:tc>
          <w:tcPr>
            <w:tcW w:w="2012" w:type="dxa"/>
            <w:tcBorders>
              <w:top w:val="nil"/>
              <w:left w:val="nil"/>
              <w:bottom w:val="single" w:sz="4" w:space="0" w:color="auto"/>
              <w:right w:val="single" w:sz="8" w:space="0" w:color="auto"/>
            </w:tcBorders>
            <w:shd w:val="clear" w:color="auto" w:fill="auto"/>
            <w:noWrap/>
            <w:vAlign w:val="center"/>
            <w:hideMark/>
          </w:tcPr>
          <w:p w14:paraId="775B1FF6" w14:textId="278DE48E" w:rsidR="00C019F2" w:rsidRPr="00AF54EC" w:rsidRDefault="00C019F2" w:rsidP="00C019F2">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individual consultations</w:t>
            </w:r>
          </w:p>
        </w:tc>
        <w:tc>
          <w:tcPr>
            <w:tcW w:w="2371" w:type="dxa"/>
            <w:vMerge/>
            <w:tcBorders>
              <w:top w:val="nil"/>
              <w:left w:val="single" w:sz="8" w:space="0" w:color="auto"/>
              <w:bottom w:val="single" w:sz="8" w:space="0" w:color="auto"/>
              <w:right w:val="single" w:sz="8" w:space="0" w:color="auto"/>
            </w:tcBorders>
            <w:vAlign w:val="center"/>
            <w:hideMark/>
          </w:tcPr>
          <w:p w14:paraId="7DE608AA" w14:textId="77777777" w:rsidR="00C019F2" w:rsidRPr="00AF54EC" w:rsidRDefault="00C019F2" w:rsidP="00C019F2">
            <w:pPr>
              <w:spacing w:after="0" w:line="240" w:lineRule="auto"/>
              <w:rPr>
                <w:rFonts w:ascii="Calibri" w:eastAsia="Times New Roman" w:hAnsi="Calibri" w:cs="Calibri"/>
                <w:color w:val="000000"/>
                <w:lang w:val="en-GB" w:eastAsia="pl-PL"/>
              </w:rPr>
            </w:pPr>
          </w:p>
        </w:tc>
        <w:tc>
          <w:tcPr>
            <w:tcW w:w="5356" w:type="dxa"/>
            <w:vMerge/>
            <w:tcBorders>
              <w:top w:val="nil"/>
              <w:left w:val="single" w:sz="8" w:space="0" w:color="auto"/>
              <w:bottom w:val="single" w:sz="8" w:space="0" w:color="auto"/>
              <w:right w:val="single" w:sz="8" w:space="0" w:color="auto"/>
            </w:tcBorders>
            <w:vAlign w:val="center"/>
            <w:hideMark/>
          </w:tcPr>
          <w:p w14:paraId="7CE75BF6" w14:textId="77777777" w:rsidR="00C019F2" w:rsidRPr="00AF54EC" w:rsidRDefault="00C019F2" w:rsidP="00C019F2">
            <w:pPr>
              <w:spacing w:after="0" w:line="240" w:lineRule="auto"/>
              <w:jc w:val="both"/>
              <w:rPr>
                <w:rFonts w:ascii="Calibri" w:eastAsia="Times New Roman" w:hAnsi="Calibri" w:cs="Calibri"/>
                <w:color w:val="000000"/>
                <w:lang w:val="en-GB" w:eastAsia="pl-PL"/>
              </w:rPr>
            </w:pPr>
          </w:p>
        </w:tc>
      </w:tr>
      <w:tr w:rsidR="00D072DB" w:rsidRPr="00CF74F2" w14:paraId="3011E67B" w14:textId="77777777" w:rsidTr="00222D3C">
        <w:trPr>
          <w:trHeight w:val="4215"/>
        </w:trPr>
        <w:tc>
          <w:tcPr>
            <w:tcW w:w="58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95EDDB7" w14:textId="77777777" w:rsidR="00D072DB" w:rsidRPr="00AF54EC" w:rsidRDefault="00D072DB" w:rsidP="00D072DB">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lastRenderedPageBreak/>
              <w:t>IV.6</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6C8EF2" w14:textId="01F4FE9A"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39.  Access to research training and continuous development</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4AF1B" w14:textId="3153FC3D" w:rsidR="00D072DB" w:rsidRPr="00AF54EC" w:rsidRDefault="00D072DB" w:rsidP="00D072DB">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 xml:space="preserve">A series of meetings and presentations  following the formula of an exhibition for researchers to showcase their technologies to industry to establish cooperation </w:t>
            </w:r>
          </w:p>
        </w:tc>
        <w:tc>
          <w:tcPr>
            <w:tcW w:w="17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E8CCD" w14:textId="662CE842"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Technology Transfer Section</w:t>
            </w:r>
          </w:p>
        </w:tc>
        <w:tc>
          <w:tcPr>
            <w:tcW w:w="20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C8731" w14:textId="4DFA0BDE" w:rsidR="00D072DB" w:rsidRPr="00AF54EC" w:rsidRDefault="00D072DB" w:rsidP="00D072DB">
            <w:pPr>
              <w:spacing w:after="0" w:line="240" w:lineRule="auto"/>
              <w:rPr>
                <w:rFonts w:ascii="Calibri" w:eastAsia="Times New Roman" w:hAnsi="Calibri" w:cs="Calibri"/>
                <w:lang w:val="en-GB" w:eastAsia="pl-PL"/>
              </w:rPr>
            </w:pPr>
            <w:r w:rsidRPr="00AF54EC">
              <w:rPr>
                <w:rFonts w:ascii="Calibri" w:eastAsia="Times New Roman" w:hAnsi="Calibri" w:cs="Calibri"/>
                <w:lang w:val="en-GB" w:eastAsia="pl-PL"/>
              </w:rPr>
              <w:t>Number of meetings and presentations following the formula of an exhibition</w:t>
            </w:r>
          </w:p>
        </w:tc>
        <w:tc>
          <w:tcPr>
            <w:tcW w:w="2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B19CD" w14:textId="5CE86905"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98D63" w14:textId="53981B85" w:rsidR="00D072DB" w:rsidRPr="00AF54EC" w:rsidRDefault="00D072DB" w:rsidP="00D072DB">
            <w:pPr>
              <w:spacing w:after="0" w:line="240" w:lineRule="auto"/>
              <w:jc w:val="both"/>
              <w:rPr>
                <w:rFonts w:ascii="Calibri" w:eastAsia="Times New Roman" w:hAnsi="Calibri" w:cs="Calibri"/>
                <w:lang w:val="en-GB" w:eastAsia="pl-PL"/>
              </w:rPr>
            </w:pPr>
            <w:r w:rsidRPr="00AF54EC">
              <w:rPr>
                <w:rFonts w:ascii="Calibri" w:eastAsia="Times New Roman" w:hAnsi="Calibri" w:cs="Calibri"/>
                <w:lang w:val="en-GB" w:eastAsia="pl-PL"/>
              </w:rPr>
              <w:t>The action is intended to facilitate interaction and cooperation between researchers and industry representatives. The meetings and presentations are expected to lead to the establishment of multidimensional cooperation with the business and industrial environment, enhancing personal brand building of the University staff and their visibility among fellow researchers within the country and internationally. The meetings with representatives of different industries and business environment institutions are a source of information on current regulatory requirements as well as the needs of business organisations, which allows the University staff to plan and conduct research that responds to specific demands.</w:t>
            </w:r>
          </w:p>
        </w:tc>
      </w:tr>
      <w:tr w:rsidR="00D072DB" w:rsidRPr="00CF74F2" w14:paraId="341A2A3F" w14:textId="77777777" w:rsidTr="00F01F42">
        <w:trPr>
          <w:trHeight w:val="2415"/>
        </w:trPr>
        <w:tc>
          <w:tcPr>
            <w:tcW w:w="585"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9C3DC85" w14:textId="77777777" w:rsidR="00D072DB" w:rsidRPr="00AF54EC" w:rsidRDefault="00D072DB" w:rsidP="00D072DB">
            <w:pPr>
              <w:spacing w:after="0" w:line="240" w:lineRule="auto"/>
              <w:jc w:val="center"/>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IV.7</w:t>
            </w:r>
          </w:p>
        </w:tc>
        <w:tc>
          <w:tcPr>
            <w:tcW w:w="2099" w:type="dxa"/>
            <w:tcBorders>
              <w:top w:val="single" w:sz="4" w:space="0" w:color="auto"/>
              <w:left w:val="nil"/>
              <w:bottom w:val="single" w:sz="8" w:space="0" w:color="auto"/>
              <w:right w:val="single" w:sz="8" w:space="0" w:color="auto"/>
            </w:tcBorders>
            <w:shd w:val="clear" w:color="auto" w:fill="auto"/>
            <w:vAlign w:val="center"/>
            <w:hideMark/>
          </w:tcPr>
          <w:p w14:paraId="29EF9A02" w14:textId="7B951765"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39. Access to research training and continuous development</w:t>
            </w:r>
          </w:p>
        </w:tc>
        <w:tc>
          <w:tcPr>
            <w:tcW w:w="2096" w:type="dxa"/>
            <w:tcBorders>
              <w:top w:val="single" w:sz="4" w:space="0" w:color="auto"/>
              <w:left w:val="nil"/>
              <w:bottom w:val="single" w:sz="8" w:space="0" w:color="auto"/>
              <w:right w:val="single" w:sz="8" w:space="0" w:color="auto"/>
            </w:tcBorders>
            <w:shd w:val="clear" w:color="auto" w:fill="auto"/>
            <w:vAlign w:val="center"/>
            <w:hideMark/>
          </w:tcPr>
          <w:p w14:paraId="67F40156" w14:textId="6266E3FE"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Mandatory induction training on commercialisation and knowledge transfer for new appointees</w:t>
            </w:r>
          </w:p>
        </w:tc>
        <w:tc>
          <w:tcPr>
            <w:tcW w:w="1773" w:type="dxa"/>
            <w:tcBorders>
              <w:top w:val="single" w:sz="4" w:space="0" w:color="auto"/>
              <w:left w:val="nil"/>
              <w:bottom w:val="single" w:sz="8" w:space="0" w:color="auto"/>
              <w:right w:val="single" w:sz="8" w:space="0" w:color="auto"/>
            </w:tcBorders>
            <w:shd w:val="clear" w:color="auto" w:fill="auto"/>
            <w:noWrap/>
            <w:vAlign w:val="center"/>
            <w:hideMark/>
          </w:tcPr>
          <w:p w14:paraId="16E42C71" w14:textId="0F75FEAF"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 xml:space="preserve">Technology Transfer </w:t>
            </w:r>
            <w:r w:rsidR="00CB01B9" w:rsidRPr="00AF54EC">
              <w:rPr>
                <w:rFonts w:ascii="Calibri" w:eastAsia="Times New Roman" w:hAnsi="Calibri" w:cs="Calibri"/>
                <w:color w:val="000000"/>
                <w:lang w:val="en-GB" w:eastAsia="pl-PL"/>
              </w:rPr>
              <w:t>Section</w:t>
            </w:r>
          </w:p>
        </w:tc>
        <w:tc>
          <w:tcPr>
            <w:tcW w:w="2012" w:type="dxa"/>
            <w:tcBorders>
              <w:top w:val="single" w:sz="4" w:space="0" w:color="auto"/>
              <w:left w:val="nil"/>
              <w:bottom w:val="single" w:sz="8" w:space="0" w:color="auto"/>
              <w:right w:val="single" w:sz="8" w:space="0" w:color="auto"/>
            </w:tcBorders>
            <w:shd w:val="clear" w:color="auto" w:fill="auto"/>
            <w:vAlign w:val="center"/>
            <w:hideMark/>
          </w:tcPr>
          <w:p w14:paraId="4A89A99E" w14:textId="1041E8C8"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Number of new appointees trained in commercialisation and knowledge transfer</w:t>
            </w:r>
          </w:p>
        </w:tc>
        <w:tc>
          <w:tcPr>
            <w:tcW w:w="2371" w:type="dxa"/>
            <w:tcBorders>
              <w:top w:val="single" w:sz="4" w:space="0" w:color="auto"/>
              <w:left w:val="nil"/>
              <w:bottom w:val="single" w:sz="8" w:space="0" w:color="auto"/>
              <w:right w:val="single" w:sz="8" w:space="0" w:color="auto"/>
            </w:tcBorders>
            <w:shd w:val="clear" w:color="auto" w:fill="auto"/>
            <w:noWrap/>
            <w:vAlign w:val="center"/>
            <w:hideMark/>
          </w:tcPr>
          <w:p w14:paraId="1E3CDF94" w14:textId="566048A6" w:rsidR="00D072DB" w:rsidRPr="00AF54EC" w:rsidRDefault="00D072DB" w:rsidP="00D072DB">
            <w:pPr>
              <w:spacing w:after="0" w:line="240" w:lineRule="auto"/>
              <w:rPr>
                <w:rFonts w:ascii="Calibri" w:eastAsia="Times New Roman" w:hAnsi="Calibri" w:cs="Calibri"/>
                <w:color w:val="000000"/>
                <w:lang w:val="en-GB" w:eastAsia="pl-PL"/>
              </w:rPr>
            </w:pPr>
            <w:r w:rsidRPr="00AF54EC">
              <w:rPr>
                <w:rFonts w:ascii="Calibri" w:eastAsia="Times New Roman" w:hAnsi="Calibri" w:cs="Calibri"/>
                <w:color w:val="000000"/>
                <w:lang w:val="en-GB" w:eastAsia="pl-PL"/>
              </w:rPr>
              <w:t>2022-2024</w:t>
            </w:r>
          </w:p>
        </w:tc>
        <w:tc>
          <w:tcPr>
            <w:tcW w:w="5356" w:type="dxa"/>
            <w:tcBorders>
              <w:top w:val="single" w:sz="4" w:space="0" w:color="auto"/>
              <w:left w:val="nil"/>
              <w:bottom w:val="single" w:sz="8" w:space="0" w:color="auto"/>
              <w:right w:val="single" w:sz="8" w:space="0" w:color="auto"/>
            </w:tcBorders>
            <w:shd w:val="clear" w:color="auto" w:fill="auto"/>
            <w:vAlign w:val="center"/>
            <w:hideMark/>
          </w:tcPr>
          <w:p w14:paraId="2FD01ADD" w14:textId="77777777" w:rsidR="00D072DB" w:rsidRPr="00AF54EC" w:rsidRDefault="00D072DB" w:rsidP="00D072DB">
            <w:pPr>
              <w:spacing w:after="0" w:line="240" w:lineRule="auto"/>
              <w:jc w:val="both"/>
              <w:rPr>
                <w:rFonts w:ascii="Calibri" w:eastAsia="Times New Roman" w:hAnsi="Calibri" w:cs="Calibri"/>
                <w:lang w:val="en-GB" w:eastAsia="pl-PL"/>
              </w:rPr>
            </w:pPr>
            <w:r w:rsidRPr="00AF54EC">
              <w:rPr>
                <w:rFonts w:ascii="Calibri" w:eastAsia="Times New Roman" w:hAnsi="Calibri" w:cs="Calibri"/>
                <w:lang w:val="en-GB" w:eastAsia="pl-PL"/>
              </w:rPr>
              <w:t>The aim is to raise awareness of the benefits of commercialisation and knowledge transfer, as well as of the risks associated with the forfeiture of intellectual property rights.</w:t>
            </w:r>
          </w:p>
          <w:p w14:paraId="2059E7B1" w14:textId="07C7739D" w:rsidR="00D072DB" w:rsidRPr="00AF54EC" w:rsidRDefault="00D072DB" w:rsidP="00D072DB">
            <w:pPr>
              <w:spacing w:after="0" w:line="240" w:lineRule="auto"/>
              <w:jc w:val="both"/>
              <w:rPr>
                <w:rFonts w:ascii="Calibri" w:eastAsia="Times New Roman" w:hAnsi="Calibri" w:cs="Calibri"/>
                <w:lang w:val="en-GB" w:eastAsia="pl-PL"/>
              </w:rPr>
            </w:pPr>
            <w:r w:rsidRPr="00AF54EC">
              <w:rPr>
                <w:rFonts w:ascii="Calibri" w:eastAsia="Times New Roman" w:hAnsi="Calibri" w:cs="Calibri"/>
                <w:lang w:val="en-GB" w:eastAsia="pl-PL"/>
              </w:rPr>
              <w:t>In the course of the training, the staff are also introduced to the internal regulations (as applicable to commercialisation and technology transfer) currently in force at the University.</w:t>
            </w:r>
          </w:p>
        </w:tc>
      </w:tr>
    </w:tbl>
    <w:p w14:paraId="448F58FD" w14:textId="77777777" w:rsidR="008F6923" w:rsidRPr="00AF54EC" w:rsidRDefault="008F6923">
      <w:pPr>
        <w:rPr>
          <w:lang w:val="en-GB"/>
        </w:rPr>
      </w:pPr>
    </w:p>
    <w:sectPr w:rsidR="008F6923" w:rsidRPr="00AF54EC" w:rsidSect="00213038">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C601" w14:textId="77777777" w:rsidR="001B4012" w:rsidRDefault="001B4012" w:rsidP="00213038">
      <w:pPr>
        <w:spacing w:after="0" w:line="240" w:lineRule="auto"/>
      </w:pPr>
      <w:r>
        <w:separator/>
      </w:r>
    </w:p>
  </w:endnote>
  <w:endnote w:type="continuationSeparator" w:id="0">
    <w:p w14:paraId="656B1FE6" w14:textId="77777777" w:rsidR="001B4012" w:rsidRDefault="001B4012" w:rsidP="0021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225655"/>
      <w:docPartObj>
        <w:docPartGallery w:val="Page Numbers (Bottom of Page)"/>
        <w:docPartUnique/>
      </w:docPartObj>
    </w:sdtPr>
    <w:sdtEndPr/>
    <w:sdtContent>
      <w:p w14:paraId="0636C191" w14:textId="0D7590E7" w:rsidR="00BC3659" w:rsidRDefault="008A13AD">
        <w:pPr>
          <w:pStyle w:val="Stopka"/>
          <w:jc w:val="center"/>
        </w:pPr>
        <w:r w:rsidRPr="00113B4F">
          <w:rPr>
            <w:noProof/>
            <w:lang w:eastAsia="pl-PL"/>
          </w:rPr>
          <w:drawing>
            <wp:anchor distT="0" distB="0" distL="114300" distR="114300" simplePos="0" relativeHeight="251661312" behindDoc="0" locked="0" layoutInCell="1" allowOverlap="1" wp14:anchorId="75A3C3C3" wp14:editId="0EB5197B">
              <wp:simplePos x="0" y="0"/>
              <wp:positionH relativeFrom="column">
                <wp:posOffset>8501975</wp:posOffset>
              </wp:positionH>
              <wp:positionV relativeFrom="paragraph">
                <wp:posOffset>-47787</wp:posOffset>
              </wp:positionV>
              <wp:extent cx="1093470" cy="771525"/>
              <wp:effectExtent l="0" t="0" r="0" b="9525"/>
              <wp:wrapNone/>
              <wp:docPr id="6" name="Obraz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043" t="10435" r="17391" b="12464"/>
                      <a:stretch/>
                    </pic:blipFill>
                    <pic:spPr bwMode="auto">
                      <a:xfrm>
                        <a:off x="0" y="0"/>
                        <a:ext cx="1093470" cy="771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3B4F">
          <w:rPr>
            <w:noProof/>
            <w:lang w:eastAsia="pl-PL"/>
          </w:rPr>
          <w:drawing>
            <wp:anchor distT="0" distB="0" distL="114300" distR="114300" simplePos="0" relativeHeight="251659264" behindDoc="0" locked="0" layoutInCell="1" allowOverlap="1" wp14:anchorId="3DB67D68" wp14:editId="3340396E">
              <wp:simplePos x="0" y="0"/>
              <wp:positionH relativeFrom="margin">
                <wp:posOffset>-719847</wp:posOffset>
              </wp:positionH>
              <wp:positionV relativeFrom="paragraph">
                <wp:posOffset>-111922</wp:posOffset>
              </wp:positionV>
              <wp:extent cx="1485900" cy="835660"/>
              <wp:effectExtent l="0" t="0" r="0" b="2540"/>
              <wp:wrapNone/>
              <wp:docPr id="5" name="Obraz 5" descr="Image result for politechnika ÅÃ³dzka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olitechnika ÅÃ³dzka logo 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59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3659">
          <w:fldChar w:fldCharType="begin"/>
        </w:r>
        <w:r w:rsidR="00BC3659">
          <w:instrText>PAGE   \* MERGEFORMAT</w:instrText>
        </w:r>
        <w:r w:rsidR="00BC3659">
          <w:fldChar w:fldCharType="separate"/>
        </w:r>
        <w:r w:rsidR="00BC3659">
          <w:t>2</w:t>
        </w:r>
        <w:r w:rsidR="00BC3659">
          <w:fldChar w:fldCharType="end"/>
        </w:r>
      </w:p>
    </w:sdtContent>
  </w:sdt>
  <w:p w14:paraId="0EE965D0" w14:textId="1D06158D" w:rsidR="00BC3659" w:rsidRDefault="00BC3659" w:rsidP="008A13A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E56F0" w14:textId="77777777" w:rsidR="001B4012" w:rsidRDefault="001B4012" w:rsidP="00213038">
      <w:pPr>
        <w:spacing w:after="0" w:line="240" w:lineRule="auto"/>
      </w:pPr>
      <w:r>
        <w:separator/>
      </w:r>
    </w:p>
  </w:footnote>
  <w:footnote w:type="continuationSeparator" w:id="0">
    <w:p w14:paraId="2B40A0FF" w14:textId="77777777" w:rsidR="001B4012" w:rsidRDefault="001B4012" w:rsidP="0021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16302" w:type="dxa"/>
      <w:tblInd w:w="-11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86"/>
      <w:gridCol w:w="2189"/>
      <w:gridCol w:w="2108"/>
      <w:gridCol w:w="1697"/>
      <w:gridCol w:w="1978"/>
      <w:gridCol w:w="2447"/>
      <w:gridCol w:w="5397"/>
    </w:tblGrid>
    <w:tr w:rsidR="00213038" w14:paraId="0E12EDCC" w14:textId="77777777" w:rsidTr="0049502C">
      <w:tc>
        <w:tcPr>
          <w:tcW w:w="16302" w:type="dxa"/>
          <w:gridSpan w:val="7"/>
          <w:shd w:val="clear" w:color="auto" w:fill="D9E2F3" w:themeFill="accent1" w:themeFillTint="33"/>
          <w:vAlign w:val="center"/>
        </w:tcPr>
        <w:p w14:paraId="548504B8" w14:textId="0AADF5F3" w:rsidR="00213038" w:rsidRPr="0011366A" w:rsidRDefault="00C84FCB" w:rsidP="00213038">
          <w:pPr>
            <w:pStyle w:val="Nagwek"/>
            <w:jc w:val="center"/>
            <w:rPr>
              <w:rFonts w:ascii="Calibri" w:eastAsia="Times New Roman" w:hAnsi="Calibri" w:cs="Calibri"/>
              <w:b/>
              <w:bCs/>
              <w:color w:val="000000"/>
              <w:lang w:eastAsia="pl-PL"/>
            </w:rPr>
          </w:pPr>
          <w:r>
            <w:rPr>
              <w:rFonts w:ascii="Calibri" w:eastAsia="Times New Roman" w:hAnsi="Calibri" w:cs="Calibri"/>
              <w:b/>
              <w:bCs/>
              <w:color w:val="000000"/>
              <w:sz w:val="36"/>
              <w:szCs w:val="36"/>
              <w:lang w:eastAsia="pl-PL"/>
            </w:rPr>
            <w:t>Action Plan</w:t>
          </w:r>
          <w:r w:rsidRPr="0011366A">
            <w:rPr>
              <w:rFonts w:ascii="Calibri" w:eastAsia="Times New Roman" w:hAnsi="Calibri" w:cs="Calibri"/>
              <w:b/>
              <w:bCs/>
              <w:color w:val="000000"/>
              <w:sz w:val="36"/>
              <w:szCs w:val="36"/>
              <w:lang w:eastAsia="pl-PL"/>
            </w:rPr>
            <w:t xml:space="preserve"> 2022-2024</w:t>
          </w:r>
        </w:p>
      </w:tc>
    </w:tr>
    <w:tr w:rsidR="00213038" w14:paraId="4C5F824B" w14:textId="77777777" w:rsidTr="002C72ED">
      <w:tc>
        <w:tcPr>
          <w:tcW w:w="486" w:type="dxa"/>
          <w:shd w:val="clear" w:color="auto" w:fill="D0CECE" w:themeFill="background2" w:themeFillShade="E6"/>
          <w:vAlign w:val="center"/>
        </w:tcPr>
        <w:p w14:paraId="6F3B47D5" w14:textId="72169DD0" w:rsidR="00213038" w:rsidRDefault="00213038" w:rsidP="00213038">
          <w:pPr>
            <w:pStyle w:val="Nagwek"/>
            <w:jc w:val="center"/>
          </w:pPr>
          <w:r w:rsidRPr="0011366A">
            <w:rPr>
              <w:rFonts w:ascii="Calibri" w:eastAsia="Times New Roman" w:hAnsi="Calibri" w:cs="Calibri"/>
              <w:b/>
              <w:bCs/>
              <w:color w:val="000000"/>
              <w:lang w:eastAsia="pl-PL"/>
            </w:rPr>
            <w:t>Lp.</w:t>
          </w:r>
        </w:p>
      </w:tc>
      <w:tc>
        <w:tcPr>
          <w:tcW w:w="2189" w:type="dxa"/>
          <w:shd w:val="clear" w:color="auto" w:fill="D0CECE" w:themeFill="background2" w:themeFillShade="E6"/>
          <w:vAlign w:val="center"/>
        </w:tcPr>
        <w:p w14:paraId="503FA08D" w14:textId="6D13D20E" w:rsidR="00213038" w:rsidRPr="00C84FCB" w:rsidRDefault="00C84FCB" w:rsidP="00213038">
          <w:pPr>
            <w:pStyle w:val="Nagwek"/>
            <w:jc w:val="center"/>
            <w:rPr>
              <w:lang w:val="en-US"/>
            </w:rPr>
          </w:pPr>
          <w:r w:rsidRPr="00C84FCB">
            <w:rPr>
              <w:rFonts w:ascii="Calibri" w:eastAsia="Times New Roman" w:hAnsi="Calibri" w:cs="Calibri"/>
              <w:b/>
              <w:bCs/>
              <w:color w:val="000000"/>
              <w:lang w:val="en-US" w:eastAsia="pl-PL"/>
            </w:rPr>
            <w:t>Gaps identified based on Gap Analysis (40 C&amp;C articles)</w:t>
          </w:r>
        </w:p>
      </w:tc>
      <w:tc>
        <w:tcPr>
          <w:tcW w:w="2108" w:type="dxa"/>
          <w:shd w:val="clear" w:color="auto" w:fill="D0CECE" w:themeFill="background2" w:themeFillShade="E6"/>
          <w:vAlign w:val="center"/>
        </w:tcPr>
        <w:p w14:paraId="33FF29E6" w14:textId="09A57808" w:rsidR="00213038" w:rsidRDefault="00C84FCB" w:rsidP="00213038">
          <w:pPr>
            <w:pStyle w:val="Nagwek"/>
            <w:jc w:val="center"/>
          </w:pPr>
          <w:r>
            <w:rPr>
              <w:rFonts w:ascii="Calibri" w:eastAsia="Times New Roman" w:hAnsi="Calibri" w:cs="Calibri"/>
              <w:b/>
              <w:bCs/>
              <w:color w:val="000000"/>
              <w:lang w:eastAsia="pl-PL"/>
            </w:rPr>
            <w:t>Action</w:t>
          </w:r>
        </w:p>
      </w:tc>
      <w:tc>
        <w:tcPr>
          <w:tcW w:w="1697" w:type="dxa"/>
          <w:shd w:val="clear" w:color="auto" w:fill="D0CECE" w:themeFill="background2" w:themeFillShade="E6"/>
          <w:vAlign w:val="center"/>
        </w:tcPr>
        <w:p w14:paraId="5EF72CE0" w14:textId="570B754B" w:rsidR="00213038" w:rsidRDefault="00C84FCB" w:rsidP="00213038">
          <w:pPr>
            <w:pStyle w:val="Nagwek"/>
            <w:jc w:val="center"/>
          </w:pPr>
          <w:proofErr w:type="spellStart"/>
          <w:r>
            <w:rPr>
              <w:rFonts w:ascii="Calibri" w:eastAsia="Times New Roman" w:hAnsi="Calibri" w:cs="Calibri"/>
              <w:b/>
              <w:bCs/>
              <w:color w:val="000000"/>
              <w:lang w:eastAsia="pl-PL"/>
            </w:rPr>
            <w:t>Lead</w:t>
          </w:r>
          <w:proofErr w:type="spellEnd"/>
        </w:p>
      </w:tc>
      <w:tc>
        <w:tcPr>
          <w:tcW w:w="1978" w:type="dxa"/>
          <w:shd w:val="clear" w:color="auto" w:fill="D0CECE" w:themeFill="background2" w:themeFillShade="E6"/>
          <w:vAlign w:val="center"/>
        </w:tcPr>
        <w:p w14:paraId="421D9067" w14:textId="77777777" w:rsidR="00C84FCB" w:rsidRPr="00C84FCB" w:rsidRDefault="00C84FCB" w:rsidP="00C84FCB">
          <w:pPr>
            <w:pStyle w:val="Nagwek"/>
            <w:jc w:val="center"/>
            <w:rPr>
              <w:rFonts w:ascii="Calibri" w:eastAsia="Times New Roman" w:hAnsi="Calibri" w:cs="Calibri"/>
              <w:b/>
              <w:bCs/>
              <w:color w:val="000000"/>
              <w:lang w:eastAsia="pl-PL"/>
            </w:rPr>
          </w:pPr>
          <w:proofErr w:type="spellStart"/>
          <w:r w:rsidRPr="00C84FCB">
            <w:rPr>
              <w:rFonts w:ascii="Calibri" w:eastAsia="Times New Roman" w:hAnsi="Calibri" w:cs="Calibri"/>
              <w:b/>
              <w:bCs/>
              <w:color w:val="000000"/>
              <w:lang w:eastAsia="pl-PL"/>
            </w:rPr>
            <w:t>Success</w:t>
          </w:r>
          <w:proofErr w:type="spellEnd"/>
          <w:r w:rsidRPr="00C84FCB">
            <w:rPr>
              <w:rFonts w:ascii="Calibri" w:eastAsia="Times New Roman" w:hAnsi="Calibri" w:cs="Calibri"/>
              <w:b/>
              <w:bCs/>
              <w:color w:val="000000"/>
              <w:lang w:eastAsia="pl-PL"/>
            </w:rPr>
            <w:t xml:space="preserve"> </w:t>
          </w:r>
          <w:proofErr w:type="spellStart"/>
          <w:r w:rsidRPr="00C84FCB">
            <w:rPr>
              <w:rFonts w:ascii="Calibri" w:eastAsia="Times New Roman" w:hAnsi="Calibri" w:cs="Calibri"/>
              <w:b/>
              <w:bCs/>
              <w:color w:val="000000"/>
              <w:lang w:eastAsia="pl-PL"/>
            </w:rPr>
            <w:t>measure</w:t>
          </w:r>
          <w:proofErr w:type="spellEnd"/>
        </w:p>
        <w:p w14:paraId="4B8182CA" w14:textId="0339A925" w:rsidR="00213038" w:rsidRDefault="00C84FCB" w:rsidP="00C84FCB">
          <w:pPr>
            <w:pStyle w:val="Nagwek"/>
            <w:jc w:val="center"/>
          </w:pPr>
          <w:r w:rsidRPr="00C84FCB">
            <w:rPr>
              <w:rFonts w:ascii="Calibri" w:eastAsia="Times New Roman" w:hAnsi="Calibri" w:cs="Calibri"/>
              <w:b/>
              <w:bCs/>
              <w:color w:val="000000"/>
              <w:lang w:eastAsia="pl-PL"/>
            </w:rPr>
            <w:t>(SMART)</w:t>
          </w:r>
        </w:p>
      </w:tc>
      <w:tc>
        <w:tcPr>
          <w:tcW w:w="2447" w:type="dxa"/>
          <w:shd w:val="clear" w:color="auto" w:fill="D0CECE" w:themeFill="background2" w:themeFillShade="E6"/>
          <w:vAlign w:val="center"/>
        </w:tcPr>
        <w:p w14:paraId="7BD152A1" w14:textId="77777777" w:rsidR="00C84FCB" w:rsidRPr="00C84FCB" w:rsidRDefault="00C84FCB" w:rsidP="00C84FCB">
          <w:pPr>
            <w:pStyle w:val="Nagwek"/>
            <w:jc w:val="center"/>
            <w:rPr>
              <w:rFonts w:ascii="Calibri" w:eastAsia="Times New Roman" w:hAnsi="Calibri" w:cs="Calibri"/>
              <w:b/>
              <w:bCs/>
              <w:color w:val="000000"/>
              <w:lang w:val="en-US" w:eastAsia="pl-PL"/>
            </w:rPr>
          </w:pPr>
          <w:r w:rsidRPr="00C84FCB">
            <w:rPr>
              <w:rFonts w:ascii="Calibri" w:eastAsia="Times New Roman" w:hAnsi="Calibri" w:cs="Calibri"/>
              <w:b/>
              <w:bCs/>
              <w:color w:val="000000"/>
              <w:lang w:val="en-US" w:eastAsia="pl-PL"/>
            </w:rPr>
            <w:t xml:space="preserve">Intended timeframe for implementation of action </w:t>
          </w:r>
        </w:p>
        <w:p w14:paraId="42834B10" w14:textId="285BF5B5" w:rsidR="00213038" w:rsidRDefault="00C84FCB" w:rsidP="00C84FCB">
          <w:pPr>
            <w:pStyle w:val="Nagwek"/>
            <w:jc w:val="center"/>
          </w:pPr>
          <w:r w:rsidRPr="00C84FCB">
            <w:rPr>
              <w:rFonts w:ascii="Calibri" w:eastAsia="Times New Roman" w:hAnsi="Calibri" w:cs="Calibri"/>
              <w:b/>
              <w:bCs/>
              <w:color w:val="000000"/>
              <w:lang w:eastAsia="pl-PL"/>
            </w:rPr>
            <w:t xml:space="preserve">(in </w:t>
          </w:r>
          <w:proofErr w:type="spellStart"/>
          <w:r w:rsidRPr="00C84FCB">
            <w:rPr>
              <w:rFonts w:ascii="Calibri" w:eastAsia="Times New Roman" w:hAnsi="Calibri" w:cs="Calibri"/>
              <w:b/>
              <w:bCs/>
              <w:color w:val="000000"/>
              <w:lang w:eastAsia="pl-PL"/>
            </w:rPr>
            <w:t>quarters</w:t>
          </w:r>
          <w:proofErr w:type="spellEnd"/>
          <w:r w:rsidRPr="00C84FCB">
            <w:rPr>
              <w:rFonts w:ascii="Calibri" w:eastAsia="Times New Roman" w:hAnsi="Calibri" w:cs="Calibri"/>
              <w:b/>
              <w:bCs/>
              <w:color w:val="000000"/>
              <w:lang w:eastAsia="pl-PL"/>
            </w:rPr>
            <w:t>/</w:t>
          </w:r>
          <w:proofErr w:type="spellStart"/>
          <w:r w:rsidRPr="00C84FCB">
            <w:rPr>
              <w:rFonts w:ascii="Calibri" w:eastAsia="Times New Roman" w:hAnsi="Calibri" w:cs="Calibri"/>
              <w:b/>
              <w:bCs/>
              <w:color w:val="000000"/>
              <w:lang w:eastAsia="pl-PL"/>
            </w:rPr>
            <w:t>semesters</w:t>
          </w:r>
          <w:proofErr w:type="spellEnd"/>
          <w:r w:rsidRPr="00C84FCB">
            <w:rPr>
              <w:rFonts w:ascii="Calibri" w:eastAsia="Times New Roman" w:hAnsi="Calibri" w:cs="Calibri"/>
              <w:b/>
              <w:bCs/>
              <w:color w:val="000000"/>
              <w:lang w:eastAsia="pl-PL"/>
            </w:rPr>
            <w:t>)</w:t>
          </w:r>
        </w:p>
      </w:tc>
      <w:tc>
        <w:tcPr>
          <w:tcW w:w="5397" w:type="dxa"/>
          <w:shd w:val="clear" w:color="auto" w:fill="D0CECE" w:themeFill="background2" w:themeFillShade="E6"/>
          <w:vAlign w:val="center"/>
        </w:tcPr>
        <w:p w14:paraId="41E369D2" w14:textId="7A1B9F57" w:rsidR="00213038" w:rsidRDefault="0035574A" w:rsidP="00213038">
          <w:pPr>
            <w:pStyle w:val="Nagwek"/>
            <w:jc w:val="center"/>
          </w:pPr>
          <w:proofErr w:type="spellStart"/>
          <w:r>
            <w:rPr>
              <w:rFonts w:ascii="Calibri" w:eastAsia="Times New Roman" w:hAnsi="Calibri" w:cs="Calibri"/>
              <w:b/>
              <w:bCs/>
              <w:color w:val="000000"/>
              <w:lang w:eastAsia="pl-PL"/>
            </w:rPr>
            <w:t>Additional</w:t>
          </w:r>
          <w:proofErr w:type="spellEnd"/>
          <w:r>
            <w:rPr>
              <w:rFonts w:ascii="Calibri" w:eastAsia="Times New Roman" w:hAnsi="Calibri" w:cs="Calibri"/>
              <w:b/>
              <w:bCs/>
              <w:color w:val="000000"/>
              <w:lang w:eastAsia="pl-PL"/>
            </w:rPr>
            <w:t xml:space="preserve"> </w:t>
          </w:r>
          <w:proofErr w:type="spellStart"/>
          <w:r>
            <w:rPr>
              <w:rFonts w:ascii="Calibri" w:eastAsia="Times New Roman" w:hAnsi="Calibri" w:cs="Calibri"/>
              <w:b/>
              <w:bCs/>
              <w:color w:val="000000"/>
              <w:lang w:eastAsia="pl-PL"/>
            </w:rPr>
            <w:t>information</w:t>
          </w:r>
          <w:proofErr w:type="spellEnd"/>
        </w:p>
      </w:tc>
    </w:tr>
  </w:tbl>
  <w:p w14:paraId="251D8D98" w14:textId="77777777" w:rsidR="00213038" w:rsidRDefault="002130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5221F"/>
    <w:multiLevelType w:val="hybridMultilevel"/>
    <w:tmpl w:val="791A7D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D4978A5"/>
    <w:multiLevelType w:val="hybridMultilevel"/>
    <w:tmpl w:val="40D21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D6"/>
    <w:rsid w:val="0005282E"/>
    <w:rsid w:val="000733AC"/>
    <w:rsid w:val="001569F7"/>
    <w:rsid w:val="0019396B"/>
    <w:rsid w:val="001B4012"/>
    <w:rsid w:val="001C6632"/>
    <w:rsid w:val="00201AF5"/>
    <w:rsid w:val="00205BDD"/>
    <w:rsid w:val="00213038"/>
    <w:rsid w:val="002514F9"/>
    <w:rsid w:val="00257DE5"/>
    <w:rsid w:val="002B5477"/>
    <w:rsid w:val="002C72ED"/>
    <w:rsid w:val="002F26F1"/>
    <w:rsid w:val="00313F00"/>
    <w:rsid w:val="003168A0"/>
    <w:rsid w:val="0035574A"/>
    <w:rsid w:val="00397E0D"/>
    <w:rsid w:val="003A6C9C"/>
    <w:rsid w:val="003E7C94"/>
    <w:rsid w:val="0043226E"/>
    <w:rsid w:val="0049502C"/>
    <w:rsid w:val="004E7CA0"/>
    <w:rsid w:val="00527DB3"/>
    <w:rsid w:val="005302CF"/>
    <w:rsid w:val="00544486"/>
    <w:rsid w:val="005557D6"/>
    <w:rsid w:val="005900E0"/>
    <w:rsid w:val="00680A9B"/>
    <w:rsid w:val="00686B20"/>
    <w:rsid w:val="0069411D"/>
    <w:rsid w:val="006A5490"/>
    <w:rsid w:val="006B089B"/>
    <w:rsid w:val="00745F0A"/>
    <w:rsid w:val="007A1B12"/>
    <w:rsid w:val="007B44D8"/>
    <w:rsid w:val="008033D7"/>
    <w:rsid w:val="00807CD2"/>
    <w:rsid w:val="00834184"/>
    <w:rsid w:val="00854BAE"/>
    <w:rsid w:val="0086725F"/>
    <w:rsid w:val="00886F57"/>
    <w:rsid w:val="008A13AD"/>
    <w:rsid w:val="008F6923"/>
    <w:rsid w:val="00964E4B"/>
    <w:rsid w:val="0097079F"/>
    <w:rsid w:val="00982492"/>
    <w:rsid w:val="009E662F"/>
    <w:rsid w:val="00A0264D"/>
    <w:rsid w:val="00A074A1"/>
    <w:rsid w:val="00A1568F"/>
    <w:rsid w:val="00AF54EC"/>
    <w:rsid w:val="00B47163"/>
    <w:rsid w:val="00B7629C"/>
    <w:rsid w:val="00BC3659"/>
    <w:rsid w:val="00C019F2"/>
    <w:rsid w:val="00C04450"/>
    <w:rsid w:val="00C15230"/>
    <w:rsid w:val="00C2797B"/>
    <w:rsid w:val="00C81431"/>
    <w:rsid w:val="00C84FCB"/>
    <w:rsid w:val="00CB01B9"/>
    <w:rsid w:val="00CC16EF"/>
    <w:rsid w:val="00CE7150"/>
    <w:rsid w:val="00CF74F2"/>
    <w:rsid w:val="00D072DB"/>
    <w:rsid w:val="00D145ED"/>
    <w:rsid w:val="00DC4596"/>
    <w:rsid w:val="00DF6D88"/>
    <w:rsid w:val="00E427C9"/>
    <w:rsid w:val="00E60F23"/>
    <w:rsid w:val="00E73CEF"/>
    <w:rsid w:val="00F919E7"/>
    <w:rsid w:val="00FA18CE"/>
    <w:rsid w:val="00FA2042"/>
    <w:rsid w:val="00FB388D"/>
    <w:rsid w:val="00FF6C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692EB"/>
  <w15:chartTrackingRefBased/>
  <w15:docId w15:val="{4E046B7E-4844-4647-AE65-78BAC30C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303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30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038"/>
  </w:style>
  <w:style w:type="paragraph" w:styleId="Stopka">
    <w:name w:val="footer"/>
    <w:basedOn w:val="Normalny"/>
    <w:link w:val="StopkaZnak"/>
    <w:uiPriority w:val="99"/>
    <w:unhideWhenUsed/>
    <w:rsid w:val="002130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038"/>
  </w:style>
  <w:style w:type="table" w:styleId="Tabela-Siatka">
    <w:name w:val="Table Grid"/>
    <w:basedOn w:val="Standardowy"/>
    <w:uiPriority w:val="39"/>
    <w:rsid w:val="0021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900E0"/>
    <w:pPr>
      <w:ind w:left="720"/>
      <w:contextualSpacing/>
    </w:pPr>
  </w:style>
  <w:style w:type="character" w:styleId="Hipercze">
    <w:name w:val="Hyperlink"/>
    <w:basedOn w:val="Domylnaczcionkaakapitu"/>
    <w:uiPriority w:val="99"/>
    <w:unhideWhenUsed/>
    <w:rsid w:val="0086725F"/>
    <w:rPr>
      <w:color w:val="0563C1" w:themeColor="hyperlink"/>
      <w:u w:val="single"/>
    </w:rPr>
  </w:style>
  <w:style w:type="character" w:styleId="Nierozpoznanawzmianka">
    <w:name w:val="Unresolved Mention"/>
    <w:basedOn w:val="Domylnaczcionkaakapitu"/>
    <w:uiPriority w:val="99"/>
    <w:semiHidden/>
    <w:unhideWhenUsed/>
    <w:rsid w:val="0086725F"/>
    <w:rPr>
      <w:color w:val="605E5C"/>
      <w:shd w:val="clear" w:color="auto" w:fill="E1DFDD"/>
    </w:rPr>
  </w:style>
  <w:style w:type="paragraph" w:styleId="Poprawka">
    <w:name w:val="Revision"/>
    <w:hidden/>
    <w:uiPriority w:val="99"/>
    <w:semiHidden/>
    <w:rsid w:val="00FB3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16</Pages>
  <Words>2734</Words>
  <Characters>16404</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Lesiak-Mańka RCZKL</dc:creator>
  <cp:keywords/>
  <dc:description/>
  <cp:lastModifiedBy>Monika Lesiak-Mańka RCZKL</cp:lastModifiedBy>
  <cp:revision>12</cp:revision>
  <cp:lastPrinted>2022-01-03T10:13:00Z</cp:lastPrinted>
  <dcterms:created xsi:type="dcterms:W3CDTF">2021-12-20T09:48:00Z</dcterms:created>
  <dcterms:modified xsi:type="dcterms:W3CDTF">2022-01-03T11:08:00Z</dcterms:modified>
</cp:coreProperties>
</file>