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F4E4" w14:textId="3AAAD37C" w:rsidR="006E2F13" w:rsidRDefault="00F80877" w:rsidP="006E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  <w:lang w:val="en-GB" w:eastAsia="pl-PL"/>
        </w:rPr>
      </w:pPr>
      <w:r w:rsidRPr="00F8087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val="en-GB" w:eastAsia="pl-PL"/>
        </w:rPr>
        <w:t xml:space="preserve">The rules for charging foreign nationals for educational services </w:t>
      </w:r>
      <w:r w:rsidR="00436A8C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val="en-GB" w:eastAsia="pl-PL"/>
        </w:rPr>
        <w:t>at</w:t>
      </w:r>
      <w:r w:rsidRPr="00F8087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val="en-GB"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val="en-GB" w:eastAsia="pl-PL"/>
        </w:rPr>
        <w:t>TUL</w:t>
      </w:r>
      <w:r w:rsidRPr="00F8087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val="en-GB" w:eastAsia="pl-PL"/>
        </w:rPr>
        <w:t xml:space="preserve"> in the academic year</w:t>
      </w:r>
      <w:r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val="en-GB" w:eastAsia="pl-PL"/>
        </w:rPr>
        <w:t xml:space="preserve"> </w:t>
      </w:r>
      <w:r w:rsidRPr="00F80877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val="en-GB" w:eastAsia="pl-PL"/>
        </w:rPr>
        <w:t>2022/23 and their amounts</w:t>
      </w:r>
      <w:r w:rsidR="006E2F13" w:rsidRPr="006E2F13">
        <w:rPr>
          <w:rFonts w:ascii="Arial" w:eastAsia="Times New Roman" w:hAnsi="Arial" w:cs="Arial"/>
          <w:color w:val="777777"/>
          <w:sz w:val="26"/>
          <w:szCs w:val="26"/>
          <w:lang w:val="en-GB" w:eastAsia="pl-PL"/>
        </w:rPr>
        <w:t> </w:t>
      </w:r>
    </w:p>
    <w:p w14:paraId="274C613D" w14:textId="77777777" w:rsidR="00D71073" w:rsidRPr="006E2F13" w:rsidRDefault="00D71073" w:rsidP="006E2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6"/>
          <w:szCs w:val="26"/>
          <w:lang w:val="en-GB" w:eastAsia="pl-PL"/>
        </w:rPr>
      </w:pPr>
    </w:p>
    <w:p w14:paraId="0582DDAE" w14:textId="5486465D" w:rsidR="00D71073" w:rsidRPr="00D71073" w:rsidRDefault="00D7107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77777"/>
          <w:sz w:val="26"/>
          <w:szCs w:val="26"/>
          <w:lang w:val="en-GB" w:eastAsia="pl-PL"/>
        </w:rPr>
      </w:pPr>
      <w:r w:rsidRPr="00D71073">
        <w:rPr>
          <w:rFonts w:ascii="Arial" w:eastAsia="Times New Roman" w:hAnsi="Arial" w:cs="Arial"/>
          <w:color w:val="777777"/>
          <w:sz w:val="26"/>
          <w:szCs w:val="26"/>
          <w:lang w:val="en-GB" w:eastAsia="pl-PL"/>
        </w:rPr>
        <w:t xml:space="preserve">Fees for educational services at </w:t>
      </w:r>
      <w:r>
        <w:rPr>
          <w:rFonts w:ascii="Arial" w:eastAsia="Times New Roman" w:hAnsi="Arial" w:cs="Arial"/>
          <w:color w:val="777777"/>
          <w:sz w:val="26"/>
          <w:szCs w:val="26"/>
          <w:lang w:val="en-GB" w:eastAsia="pl-PL"/>
        </w:rPr>
        <w:t>TUL</w:t>
      </w:r>
    </w:p>
    <w:p w14:paraId="2C2D00E0" w14:textId="69305DEA" w:rsidR="007B2C7E" w:rsidRPr="007B2C7E" w:rsidRDefault="007B2C7E" w:rsidP="007B2C7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</w:pPr>
      <w:r w:rsidRPr="007B2C7E"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 xml:space="preserve">General information on the rules for charging fees for studies at </w:t>
      </w:r>
      <w:r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>Lodz University of Technology</w:t>
      </w:r>
      <w:r w:rsidRPr="007B2C7E"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 xml:space="preserve"> from foreign nationals and the announcement of the Vice-Rector for Student Affairs of </w:t>
      </w:r>
      <w:r w:rsidR="00336AE5"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>Lodz University of Technology</w:t>
      </w:r>
      <w:r w:rsidRPr="007B2C7E"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 xml:space="preserve"> of 30 May 2022 on fees for educational services and other services provided for full-time and part-time studies of the first and second cycle as well as for postgraduate studies and other forms of education at </w:t>
      </w:r>
      <w:r w:rsidR="00336AE5"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 xml:space="preserve">Lodz University of Technology </w:t>
      </w:r>
      <w:r w:rsidRPr="007B2C7E"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>charged from persons who are not Polish citizens and who are not listed in Article 324(2) of the Act of 20 July 2018 - Law on Higher Education and Science, starting the education cycle in the academic year 2022/23.</w:t>
      </w:r>
    </w:p>
    <w:p w14:paraId="1C329F58" w14:textId="77777777" w:rsidR="006E2F13" w:rsidRPr="006E2F13" w:rsidRDefault="006E2F13" w:rsidP="006E2F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</w:pPr>
    </w:p>
    <w:p w14:paraId="5D17C6AA" w14:textId="567C2DD5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1. </w:t>
      </w:r>
      <w:r w:rsidR="00D41BD3" w:rsidRPr="00D41BD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Lodz University of Technology, </w:t>
      </w:r>
      <w:r w:rsidR="0067230A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further</w:t>
      </w:r>
      <w:r w:rsidR="00D41BD3" w:rsidRPr="00D41BD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 referred to as the University, may charge the persons referred to in the </w:t>
      </w:r>
      <w:r w:rsidR="005F5C2C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r</w:t>
      </w:r>
      <w:r w:rsidR="00D41BD3" w:rsidRPr="00D41BD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esolution for educational services provided for:</w:t>
      </w:r>
    </w:p>
    <w:p w14:paraId="742D3D79" w14:textId="67227326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1) </w:t>
      </w:r>
      <w:r w:rsidR="00D41BD3" w:rsidRPr="001A4F37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part-time educ</w:t>
      </w:r>
      <w:r w:rsidR="001A4F37" w:rsidRPr="001A4F37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ation</w:t>
      </w: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;</w:t>
      </w:r>
    </w:p>
    <w:p w14:paraId="069C435F" w14:textId="714755C4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2) </w:t>
      </w:r>
      <w:r w:rsidR="001A4F37" w:rsidRPr="001A4F37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full-time education;</w:t>
      </w:r>
    </w:p>
    <w:p w14:paraId="33D14318" w14:textId="1F69DD01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3) </w:t>
      </w:r>
      <w:r w:rsidR="00D77728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 the </w:t>
      </w:r>
      <w:r w:rsidR="00510AB8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r</w:t>
      </w:r>
      <w:r w:rsidR="00510AB8" w:rsidRPr="00510AB8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epetition of specific courses in full-time studies due to unsatisfactory academic performance;</w:t>
      </w:r>
    </w:p>
    <w:p w14:paraId="7E07B04E" w14:textId="396237FE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4) </w:t>
      </w:r>
      <w:r w:rsidR="00D77728" w:rsidRPr="00D77728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the repetition of specific courses in part-time studies due to unsatisfactory academic performance;</w:t>
      </w:r>
    </w:p>
    <w:p w14:paraId="08039035" w14:textId="02D6BF46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5) </w:t>
      </w:r>
      <w:r w:rsidR="000D7B1A" w:rsidRPr="000D7B1A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implementation of courses not included in the study programme;</w:t>
      </w:r>
    </w:p>
    <w:p w14:paraId="1C95A0E4" w14:textId="77777777" w:rsidR="005F5C2C" w:rsidRPr="005F5C2C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6) </w:t>
      </w:r>
      <w:r w:rsidR="005F5C2C" w:rsidRPr="005F5C2C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education in postgraduate studies and other forms of study.</w:t>
      </w:r>
    </w:p>
    <w:p w14:paraId="5F362EEE" w14:textId="0E832AA3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2. </w:t>
      </w:r>
      <w:r w:rsidR="005F5C2C" w:rsidRPr="005F5C2C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Lodz University of Technology may also charge the foreign nationals referred to in the resolution for:</w:t>
      </w:r>
    </w:p>
    <w:p w14:paraId="3CB34BFC" w14:textId="4AF75808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1) </w:t>
      </w:r>
      <w:r w:rsidR="00D07BCB" w:rsidRPr="004B36D1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conducting recruitment;</w:t>
      </w:r>
    </w:p>
    <w:p w14:paraId="7F56122E" w14:textId="61AA3BE9" w:rsidR="00812A87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2) </w:t>
      </w:r>
      <w:r w:rsidR="004B36D1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conducting</w:t>
      </w:r>
      <w:r w:rsidR="004B36D1" w:rsidRPr="004B36D1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 the </w:t>
      </w:r>
      <w:r w:rsidR="009D6DDE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confirmation</w:t>
      </w:r>
      <w:r w:rsidR="004B36D1" w:rsidRPr="004B36D1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 of learning outcomes;</w:t>
      </w:r>
    </w:p>
    <w:p w14:paraId="79F4CA86" w14:textId="048B6762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lastRenderedPageBreak/>
        <w:t xml:space="preserve">3) </w:t>
      </w:r>
      <w:r w:rsidR="00812A87" w:rsidRPr="00812A87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the issue of a student identity card and a duplicate;</w:t>
      </w:r>
    </w:p>
    <w:p w14:paraId="3F0A76F5" w14:textId="20ACD598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4) </w:t>
      </w:r>
      <w:r w:rsidR="00812A87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the issue</w:t>
      </w:r>
      <w:r w:rsidR="002F17F5" w:rsidRPr="002F17F5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 of an additional copy of the diploma of completion of the studies or a copy of the diploma supplement in a foreign language as referred to in Article 77(2) of the </w:t>
      </w:r>
      <w:r w:rsidR="00860394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Law on Higher Education and Science </w:t>
      </w:r>
      <w:r w:rsidR="002F17F5" w:rsidRPr="002F17F5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Act;</w:t>
      </w:r>
    </w:p>
    <w:p w14:paraId="3C1C6727" w14:textId="77777777" w:rsidR="00812A87" w:rsidRPr="00436A8C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436A8C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5) </w:t>
      </w:r>
      <w:r w:rsidR="00812A87" w:rsidRPr="00436A8C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the </w:t>
      </w:r>
      <w:r w:rsidR="001F290A" w:rsidRPr="00436A8C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issue of a duplicate of the diploma and diploma supplement;</w:t>
      </w:r>
    </w:p>
    <w:p w14:paraId="19B52836" w14:textId="63AF2BFA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6) </w:t>
      </w:r>
      <w:r w:rsidR="00102051" w:rsidRPr="00102051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authentication of documents intended for legal transactions with foreign countries;</w:t>
      </w:r>
    </w:p>
    <w:p w14:paraId="55D46E37" w14:textId="61E6E9AD" w:rsidR="006E2F13" w:rsidRPr="006E2F13" w:rsidRDefault="006E2F13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6E2F13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7) </w:t>
      </w:r>
      <w:r w:rsidR="00102051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the </w:t>
      </w:r>
      <w:r w:rsidR="00102051" w:rsidRPr="00102051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use of the university's student residences.</w:t>
      </w:r>
    </w:p>
    <w:p w14:paraId="51952293" w14:textId="5BF29C7F" w:rsidR="006E2F13" w:rsidRPr="006E2F13" w:rsidRDefault="00E0363C" w:rsidP="006E2F1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</w:pPr>
      <w:r w:rsidRPr="0023320A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>Detailed regulations on the principles of charging are presented in the following</w:t>
      </w:r>
      <w:r w:rsidRPr="00E0363C"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 xml:space="preserve"> Resolution No. 27/2022 of the Senate of </w:t>
      </w:r>
      <w:r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>Lodz University of Technology</w:t>
      </w:r>
      <w:r w:rsidRPr="00E0363C"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 xml:space="preserve"> of 25 May 2022.</w:t>
      </w:r>
    </w:p>
    <w:p w14:paraId="6915C2B2" w14:textId="0C4C6494" w:rsidR="00B72748" w:rsidRPr="0023320A" w:rsidRDefault="0023320A">
      <w:pPr>
        <w:rPr>
          <w:lang w:val="en-GB"/>
        </w:rPr>
      </w:pPr>
      <w:r w:rsidRPr="0023320A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The following </w:t>
      </w:r>
      <w:r w:rsidRPr="008D2D02"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 xml:space="preserve">Announcement of the Vice-Rector for Student Affairs of Lodz University of </w:t>
      </w:r>
      <w:r w:rsidR="001F231A"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>Technology</w:t>
      </w:r>
      <w:r w:rsidRPr="008D2D02">
        <w:rPr>
          <w:rFonts w:ascii="Arial" w:eastAsia="Times New Roman" w:hAnsi="Arial" w:cs="Arial"/>
          <w:b/>
          <w:bCs/>
          <w:color w:val="212529"/>
          <w:sz w:val="26"/>
          <w:szCs w:val="26"/>
          <w:lang w:val="en-GB" w:eastAsia="pl-PL"/>
        </w:rPr>
        <w:t xml:space="preserve"> dated 30 May 2022</w:t>
      </w:r>
      <w:r w:rsidRPr="0023320A">
        <w:rPr>
          <w:rFonts w:ascii="Arial" w:eastAsia="Times New Roman" w:hAnsi="Arial" w:cs="Arial"/>
          <w:color w:val="212529"/>
          <w:sz w:val="26"/>
          <w:szCs w:val="26"/>
          <w:lang w:val="en-GB" w:eastAsia="pl-PL"/>
        </w:rPr>
        <w:t xml:space="preserve"> regulates the fees for educational services.</w:t>
      </w:r>
    </w:p>
    <w:sectPr w:rsidR="00B72748" w:rsidRPr="0023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13"/>
    <w:rsid w:val="000D7B1A"/>
    <w:rsid w:val="00102051"/>
    <w:rsid w:val="001A4F37"/>
    <w:rsid w:val="001F231A"/>
    <w:rsid w:val="001F290A"/>
    <w:rsid w:val="0023320A"/>
    <w:rsid w:val="002F17F5"/>
    <w:rsid w:val="00336AE5"/>
    <w:rsid w:val="00436A8C"/>
    <w:rsid w:val="004B36D1"/>
    <w:rsid w:val="00510AB8"/>
    <w:rsid w:val="005F5C2C"/>
    <w:rsid w:val="0067230A"/>
    <w:rsid w:val="006E2F13"/>
    <w:rsid w:val="007B2C7E"/>
    <w:rsid w:val="00812A87"/>
    <w:rsid w:val="00860394"/>
    <w:rsid w:val="008D2D02"/>
    <w:rsid w:val="009D6DDE"/>
    <w:rsid w:val="00A4130E"/>
    <w:rsid w:val="00B72748"/>
    <w:rsid w:val="00C010CA"/>
    <w:rsid w:val="00C87FC6"/>
    <w:rsid w:val="00CB424F"/>
    <w:rsid w:val="00D07BCB"/>
    <w:rsid w:val="00D41BD3"/>
    <w:rsid w:val="00D71073"/>
    <w:rsid w:val="00D77728"/>
    <w:rsid w:val="00E0363C"/>
    <w:rsid w:val="00E425BF"/>
    <w:rsid w:val="00F8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9797"/>
  <w15:chartTrackingRefBased/>
  <w15:docId w15:val="{339817C5-F572-4FB9-8BE0-121B730C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E2F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F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aterial-icons">
    <w:name w:val="material-icons"/>
    <w:basedOn w:val="Domylnaczcionkaakapitu"/>
    <w:rsid w:val="006E2F13"/>
  </w:style>
  <w:style w:type="character" w:customStyle="1" w:styleId="sr-only">
    <w:name w:val="sr-only"/>
    <w:basedOn w:val="Domylnaczcionkaakapitu"/>
    <w:rsid w:val="006E2F13"/>
  </w:style>
  <w:style w:type="character" w:styleId="Hipercze">
    <w:name w:val="Hyperlink"/>
    <w:basedOn w:val="Domylnaczcionkaakapitu"/>
    <w:uiPriority w:val="99"/>
    <w:semiHidden/>
    <w:unhideWhenUsed/>
    <w:rsid w:val="006E2F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2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7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05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573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80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42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418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2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0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17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98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4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7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90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17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994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42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04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663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5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32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46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03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3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9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0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34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92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1991</Characters>
  <Application>Microsoft Office Word</Application>
  <DocSecurity>0</DocSecurity>
  <Lines>153</Lines>
  <Paragraphs>103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Hejduk S2</dc:creator>
  <cp:keywords/>
  <dc:description/>
  <cp:lastModifiedBy>Mariola Hejduk S2</cp:lastModifiedBy>
  <cp:revision>28</cp:revision>
  <dcterms:created xsi:type="dcterms:W3CDTF">2022-09-09T10:40:00Z</dcterms:created>
  <dcterms:modified xsi:type="dcterms:W3CDTF">2022-09-13T11:51:00Z</dcterms:modified>
</cp:coreProperties>
</file>