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02" w:rsidRDefault="00472202" w:rsidP="005D24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2"/>
          <w:szCs w:val="42"/>
          <w:lang w:val="en-GB" w:eastAsia="pl-PL"/>
        </w:rPr>
      </w:pPr>
      <w:r w:rsidRPr="00BA530A">
        <w:rPr>
          <w:rFonts w:eastAsia="Times New Roman" w:cstheme="minorHAnsi"/>
          <w:b/>
          <w:color w:val="202124"/>
          <w:sz w:val="42"/>
          <w:szCs w:val="42"/>
          <w:lang w:val="en-GB" w:eastAsia="pl-PL"/>
        </w:rPr>
        <w:t>Allowances for students from Ukraine as part of the "Goldman Sachs-</w:t>
      </w:r>
      <w:proofErr w:type="spellStart"/>
      <w:r w:rsidRPr="00BA530A">
        <w:rPr>
          <w:rFonts w:eastAsia="Times New Roman" w:cstheme="minorHAnsi"/>
          <w:b/>
          <w:color w:val="202124"/>
          <w:sz w:val="42"/>
          <w:szCs w:val="42"/>
          <w:lang w:val="en-GB" w:eastAsia="pl-PL"/>
        </w:rPr>
        <w:t>Perspektywy</w:t>
      </w:r>
      <w:proofErr w:type="spellEnd"/>
      <w:r w:rsidRPr="00BA530A">
        <w:rPr>
          <w:rFonts w:eastAsia="Times New Roman" w:cstheme="minorHAnsi"/>
          <w:b/>
          <w:color w:val="202124"/>
          <w:sz w:val="42"/>
          <w:szCs w:val="42"/>
          <w:lang w:val="en-GB" w:eastAsia="pl-PL"/>
        </w:rPr>
        <w:t xml:space="preserve"> Aid Scholarships" project.</w:t>
      </w:r>
    </w:p>
    <w:p w:rsidR="00BA530A" w:rsidRPr="00BA530A" w:rsidRDefault="00BA530A" w:rsidP="005D24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2"/>
          <w:szCs w:val="42"/>
          <w:lang w:val="en-GB" w:eastAsia="pl-PL"/>
        </w:rPr>
      </w:pPr>
    </w:p>
    <w:p w:rsidR="00472202" w:rsidRDefault="00472202" w:rsidP="0005040E">
      <w:pPr>
        <w:pStyle w:val="HTML-wstpniesformatowany"/>
        <w:shd w:val="clear" w:color="auto" w:fill="FFFFFF" w:themeFill="background1"/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en-GB"/>
        </w:rPr>
      </w:pPr>
      <w:r w:rsidRPr="00BA530A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en-GB"/>
        </w:rPr>
        <w:t xml:space="preserve">Starting February 1, applications for additional grants for students from Ukraine will be accepted as part of the "NatWest Aid Scholarships - </w:t>
      </w:r>
      <w:proofErr w:type="spellStart"/>
      <w:r w:rsidRPr="00BA530A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en-GB"/>
        </w:rPr>
        <w:t>Perspektywy</w:t>
      </w:r>
      <w:proofErr w:type="spellEnd"/>
      <w:r w:rsidRPr="00BA530A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en-GB"/>
        </w:rPr>
        <w:t>" project.</w:t>
      </w:r>
    </w:p>
    <w:p w:rsidR="00BA530A" w:rsidRPr="00BA530A" w:rsidRDefault="00BA530A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b/>
          <w:color w:val="202124"/>
          <w:sz w:val="32"/>
          <w:szCs w:val="32"/>
          <w:lang w:val="en-GB"/>
        </w:rPr>
      </w:pPr>
    </w:p>
    <w:p w:rsidR="00FA53BB" w:rsidRDefault="00FA53BB" w:rsidP="0005040E">
      <w:pPr>
        <w:pStyle w:val="HTML-wstpniesformatowany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Lodz University of Technology participates in the Goldman Sachs-</w:t>
      </w:r>
      <w:proofErr w:type="spellStart"/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Perspektywy</w:t>
      </w:r>
      <w:proofErr w:type="spellEnd"/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Aid Scholarship project, the aim of which is to provide financial</w:t>
      </w:r>
      <w:r w:rsidR="00816A5D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support to students </w:t>
      </w:r>
      <w:r w:rsidR="00816A5D" w:rsidRPr="00816A5D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-GB"/>
        </w:rPr>
        <w:t>– </w:t>
      </w:r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citizens </w:t>
      </w:r>
      <w:r w:rsidR="00816A5D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of Ukraine </w:t>
      </w:r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studying at Polish universities. The program is organize</w:t>
      </w:r>
      <w:r w:rsidR="001B105F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d by the “</w:t>
      </w:r>
      <w:proofErr w:type="spellStart"/>
      <w:r w:rsidR="001B105F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Perspektywy</w:t>
      </w:r>
      <w:proofErr w:type="spellEnd"/>
      <w:r w:rsidR="001B105F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” Education</w:t>
      </w:r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Foundation and funded by Goldman Sachs.</w:t>
      </w:r>
    </w:p>
    <w:p w:rsidR="00BA530A" w:rsidRDefault="00BA530A" w:rsidP="0005040E">
      <w:pPr>
        <w:pStyle w:val="HTML-wstpniesformatowany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</w:pPr>
    </w:p>
    <w:p w:rsidR="00BA530A" w:rsidRDefault="00BA530A" w:rsidP="0005040E">
      <w:pPr>
        <w:pStyle w:val="HTML-wstpniesformatowany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</w:pPr>
    </w:p>
    <w:p w:rsidR="00BA530A" w:rsidRPr="00BA530A" w:rsidRDefault="00BA530A" w:rsidP="0005040E">
      <w:pPr>
        <w:pStyle w:val="HTML-wstpniesformatowany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</w:pPr>
      <w:bookmarkStart w:id="0" w:name="_GoBack"/>
      <w:bookmarkEnd w:id="0"/>
    </w:p>
    <w:p w:rsidR="005D2442" w:rsidRDefault="005D2442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5D2442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In accordance with the rules of the project, Lodz University of Technology has been given the opportunity </w:t>
      </w:r>
      <w:r w:rsidR="00D161A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to grant 30 citizens of Ukraine </w:t>
      </w:r>
      <w:r w:rsidR="00D161A8" w:rsidRPr="00816A5D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-GB"/>
        </w:rPr>
        <w:t>– </w:t>
      </w:r>
      <w:r w:rsidR="001F1F75">
        <w:rPr>
          <w:rFonts w:asciiTheme="minorHAnsi" w:hAnsiTheme="minorHAnsi" w:cstheme="minorHAnsi"/>
          <w:color w:val="202124"/>
          <w:sz w:val="32"/>
          <w:szCs w:val="32"/>
          <w:lang w:val="en-GB"/>
        </w:rPr>
        <w:t>TUL</w:t>
      </w:r>
      <w:r w:rsidR="006E2F1A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students</w:t>
      </w:r>
      <w:r w:rsidR="00D161A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</w:t>
      </w:r>
      <w:r w:rsidR="00D161A8" w:rsidRPr="00816A5D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-GB"/>
        </w:rPr>
        <w:t>– </w:t>
      </w:r>
      <w:r w:rsidRPr="005D2442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one-time financial benefits, </w:t>
      </w:r>
      <w:r w:rsidR="00DB6E96">
        <w:rPr>
          <w:rFonts w:asciiTheme="minorHAnsi" w:hAnsiTheme="minorHAnsi" w:cstheme="minorHAnsi"/>
          <w:color w:val="202124"/>
          <w:sz w:val="32"/>
          <w:szCs w:val="32"/>
          <w:lang w:val="en-GB"/>
        </w:rPr>
        <w:t>hereafter referred to as the allowance</w:t>
      </w:r>
      <w:r w:rsidRPr="005D2442">
        <w:rPr>
          <w:rFonts w:asciiTheme="minorHAnsi" w:hAnsiTheme="minorHAnsi" w:cstheme="minorHAnsi"/>
          <w:color w:val="202124"/>
          <w:sz w:val="32"/>
          <w:szCs w:val="32"/>
          <w:lang w:val="en-GB"/>
        </w:rPr>
        <w:t>, in the amount of PLN 1,000 each.</w:t>
      </w:r>
    </w:p>
    <w:p w:rsidR="00A0124A" w:rsidRPr="002F1C15" w:rsidRDefault="00695836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en-GB"/>
        </w:rPr>
        <w:br/>
        <w:t>The r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>ules for grant</w:t>
      </w:r>
      <w:r w:rsidR="00A0124A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ing the aforementioned benefits are </w:t>
      </w:r>
      <w:r w:rsidR="009D2BC4">
        <w:rPr>
          <w:rFonts w:asciiTheme="minorHAnsi" w:hAnsiTheme="minorHAnsi" w:cstheme="minorHAnsi"/>
          <w:color w:val="202124"/>
          <w:sz w:val="32"/>
          <w:szCs w:val="32"/>
          <w:lang w:val="en-GB"/>
        </w:rPr>
        <w:t>a</w:t>
      </w:r>
      <w:r w:rsidR="00A0124A">
        <w:rPr>
          <w:rFonts w:asciiTheme="minorHAnsi" w:hAnsiTheme="minorHAnsi" w:cstheme="minorHAnsi"/>
          <w:color w:val="202124"/>
          <w:sz w:val="32"/>
          <w:szCs w:val="32"/>
          <w:lang w:val="en-GB"/>
        </w:rPr>
        <w:t>s follows:</w:t>
      </w:r>
    </w:p>
    <w:p w:rsidR="002F1C15" w:rsidRDefault="008538E9" w:rsidP="00D065DC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en-GB"/>
        </w:rPr>
        <w:t>The beneficiary of the allowance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may be a student, a citizen o</w:t>
      </w:r>
      <w:r w:rsidR="006156D4">
        <w:rPr>
          <w:rFonts w:asciiTheme="minorHAnsi" w:hAnsiTheme="minorHAnsi" w:cstheme="minorHAnsi"/>
          <w:color w:val="202124"/>
          <w:sz w:val="32"/>
          <w:szCs w:val="32"/>
          <w:lang w:val="en-GB"/>
        </w:rPr>
        <w:t>f Ukraine, who arrived legally i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>n the territory of the Republic</w:t>
      </w:r>
      <w:r w:rsidR="006156D4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of Poland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in the period from February 24, 2022, in a</w:t>
      </w:r>
      <w:r w:rsidR="00D95DCD">
        <w:rPr>
          <w:rFonts w:asciiTheme="minorHAnsi" w:hAnsiTheme="minorHAnsi" w:cstheme="minorHAnsi"/>
          <w:color w:val="202124"/>
          <w:sz w:val="32"/>
          <w:szCs w:val="32"/>
          <w:lang w:val="en-GB"/>
        </w:rPr>
        <w:t>ccordance with the Act</w:t>
      </w:r>
      <w:r w:rsidR="003B76ED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of March 12, 2022 on assistance to citizens of Ukraine in connection with the armed </w:t>
      </w:r>
      <w:r w:rsidR="00681250">
        <w:rPr>
          <w:rFonts w:asciiTheme="minorHAnsi" w:hAnsiTheme="minorHAnsi" w:cstheme="minorHAnsi"/>
          <w:color w:val="202124"/>
          <w:sz w:val="32"/>
          <w:szCs w:val="32"/>
          <w:lang w:val="en-GB"/>
        </w:rPr>
        <w:t>c</w:t>
      </w:r>
      <w:r w:rsidR="00D95DCD">
        <w:rPr>
          <w:rFonts w:asciiTheme="minorHAnsi" w:hAnsiTheme="minorHAnsi" w:cstheme="minorHAnsi"/>
          <w:color w:val="202124"/>
          <w:sz w:val="32"/>
          <w:szCs w:val="32"/>
          <w:lang w:val="en-GB"/>
        </w:rPr>
        <w:t>onflict on the territory of that state</w:t>
      </w:r>
      <w:r w:rsidR="00A51841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and who, on the day of receiving </w:t>
      </w:r>
      <w:r w:rsidR="002F1C15" w:rsidRP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>the decision on granting the benefit, ha</w:t>
      </w:r>
      <w:r w:rsidR="004D0FE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s the status of a </w:t>
      </w:r>
      <w:r w:rsidR="002F1C1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Lodz </w:t>
      </w:r>
      <w:r w:rsidR="002F1C15" w:rsidRPr="005D2442">
        <w:rPr>
          <w:rFonts w:asciiTheme="minorHAnsi" w:hAnsiTheme="minorHAnsi" w:cstheme="minorHAnsi"/>
          <w:color w:val="202124"/>
          <w:sz w:val="32"/>
          <w:szCs w:val="32"/>
          <w:lang w:val="en-GB"/>
        </w:rPr>
        <w:t>University of Technology</w:t>
      </w:r>
      <w:r w:rsidR="004D0FE5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student.</w:t>
      </w:r>
    </w:p>
    <w:p w:rsidR="00D065DC" w:rsidRDefault="00726A30" w:rsidP="0005040E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In the first place, the allowance </w:t>
      </w:r>
      <w:r w:rsidR="00004320" w:rsidRPr="00D065DC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is granted to students referred to in item. 1 of the </w:t>
      </w:r>
      <w:r w:rsidR="00FF2776" w:rsidRPr="00D065DC">
        <w:rPr>
          <w:rFonts w:asciiTheme="minorHAnsi" w:hAnsiTheme="minorHAnsi" w:cstheme="minorHAnsi"/>
          <w:color w:val="202124"/>
          <w:sz w:val="32"/>
          <w:szCs w:val="32"/>
          <w:lang w:val="en-GB"/>
        </w:rPr>
        <w:t>Announcement, who did not receive</w:t>
      </w:r>
      <w:r w:rsidR="00004320" w:rsidRPr="00D065DC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</w:t>
      </w:r>
      <w:r w:rsidR="0090140C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any </w:t>
      </w:r>
      <w:r w:rsidR="00004320" w:rsidRPr="00D065DC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benefits under the projects: "Amazon-Perspective Assistance </w:t>
      </w:r>
      <w:r w:rsidR="00004320" w:rsidRPr="00D065DC">
        <w:rPr>
          <w:rFonts w:asciiTheme="minorHAnsi" w:hAnsiTheme="minorHAnsi" w:cstheme="minorHAnsi"/>
          <w:color w:val="202124"/>
          <w:sz w:val="32"/>
          <w:szCs w:val="32"/>
          <w:lang w:val="en-GB"/>
        </w:rPr>
        <w:lastRenderedPageBreak/>
        <w:t xml:space="preserve">Scholarships" and "NatWest-Perspective Assistance Scholarships". </w:t>
      </w:r>
    </w:p>
    <w:p w:rsidR="000A41D8" w:rsidRDefault="002C4FC7" w:rsidP="0005040E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If the pool 30</w:t>
      </w:r>
      <w:r w:rsidR="00C85C3C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of benefits has</w:t>
      </w:r>
      <w:r w:rsidR="00997C87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not </w:t>
      </w:r>
      <w:r w:rsidR="0052044F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been used</w:t>
      </w:r>
      <w:r w:rsidR="00997C87" w:rsidRPr="00BA530A">
        <w:rPr>
          <w:rStyle w:val="y2iqfc"/>
          <w:rFonts w:asciiTheme="minorHAnsi" w:hAnsiTheme="minorHAnsi" w:cstheme="minorHAnsi"/>
          <w:color w:val="202124"/>
          <w:sz w:val="32"/>
          <w:szCs w:val="32"/>
          <w:lang w:val="en-GB"/>
        </w:rPr>
        <w:t>, each student referred to in point 1 may receive the benefit.</w:t>
      </w:r>
    </w:p>
    <w:p w:rsidR="000A41D8" w:rsidRDefault="00E65BED" w:rsidP="0005040E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The benefit is granted in the form of an allowance referred to in Article 86, paragraph 1, item. 3 of the Act on Higher Education and Scie</w:t>
      </w:r>
      <w:r w:rsidR="006C532A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nce. The benefit may be obtained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only once.</w:t>
      </w:r>
    </w:p>
    <w:p w:rsidR="00AA321C" w:rsidRDefault="0035145B" w:rsidP="0005040E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The PLN 1,000 allowance</w:t>
      </w:r>
      <w:r w:rsidR="001A581D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is granted at the student's request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, pre</w:t>
      </w:r>
      <w:r w:rsidR="001A581D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pared according to the template </w:t>
      </w:r>
      <w:r w:rsidR="00CF1432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attached to this announcem</w:t>
      </w:r>
      <w:r w:rsidR="007B3EC4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e</w:t>
      </w:r>
      <w:r w:rsidR="00CF1432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nt</w:t>
      </w:r>
      <w:r w:rsidR="00F90ECF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. Applications should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be submitted in person at the</w:t>
      </w:r>
      <w:r w:rsidR="00A14C48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TUL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Benefit Service Section by mail (90-924 Lodz, 116 </w:t>
      </w:r>
      <w:proofErr w:type="spellStart"/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Żeromskiego</w:t>
      </w:r>
      <w:proofErr w:type="spellEnd"/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St., Building A33, staircase E, 4th floor) </w:t>
      </w:r>
      <w:r w:rsidR="00D658BE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from </w:t>
      </w:r>
      <w:r w:rsidR="007D6BC4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>1</w:t>
      </w:r>
      <w:r w:rsidR="007D6BC4" w:rsidRPr="000A41D8">
        <w:rPr>
          <w:rFonts w:asciiTheme="minorHAnsi" w:hAnsiTheme="minorHAnsi" w:cstheme="minorHAnsi"/>
          <w:color w:val="202124"/>
          <w:sz w:val="32"/>
          <w:szCs w:val="32"/>
          <w:vertAlign w:val="superscript"/>
          <w:lang w:val="en-GB"/>
        </w:rPr>
        <w:t>st</w:t>
      </w:r>
      <w:r w:rsidR="007D6BC4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 February 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2023. The applicant may be </w:t>
      </w:r>
      <w:r w:rsidR="00B36CF4"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requested </w:t>
      </w:r>
      <w:r w:rsidRPr="000A41D8">
        <w:rPr>
          <w:rFonts w:asciiTheme="minorHAnsi" w:hAnsiTheme="minorHAnsi" w:cstheme="minorHAnsi"/>
          <w:color w:val="202124"/>
          <w:sz w:val="32"/>
          <w:szCs w:val="32"/>
          <w:lang w:val="en-GB"/>
        </w:rPr>
        <w:t xml:space="preserve">to supplement the application or to submit supplementary documents or explanations by the indicated deadline. Failure to submit a complete application or required documents by the deadline excludes the possibility of granting the benefit.  </w:t>
      </w:r>
    </w:p>
    <w:p w:rsidR="00A572E8" w:rsidRPr="00A572E8" w:rsidRDefault="00707ABA" w:rsidP="007007DA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G</w:t>
      </w:r>
      <w:r w:rsidR="007007DA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ranting</w:t>
      </w:r>
      <w:r w:rsidR="00316F41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the allowance</w:t>
      </w:r>
      <w:r w:rsidR="001A2F55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is determined by </w:t>
      </w: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t</w:t>
      </w:r>
      <w:r w:rsidR="00480E2D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he order in which </w:t>
      </w: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complete application</w:t>
      </w:r>
      <w:r w:rsidR="00480E2D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s</w:t>
      </w:r>
      <w:r w:rsidR="00847FB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for it  are </w:t>
      </w: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submitted</w:t>
      </w:r>
      <w:r w:rsidR="001A2F55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, which in turn  depends on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the date of their submission to the</w:t>
      </w:r>
      <w:r w:rsidR="006B2D11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Benefits Service Section. I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n the case of applications submitted via </w:t>
      </w:r>
      <w:proofErr w:type="spellStart"/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Poc</w:t>
      </w:r>
      <w:r w:rsidR="001B7B19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zta</w:t>
      </w:r>
      <w:proofErr w:type="spellEnd"/>
      <w:r w:rsidR="001B7B19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</w:t>
      </w:r>
      <w:proofErr w:type="spellStart"/>
      <w:r w:rsidR="001B7B19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Polska</w:t>
      </w:r>
      <w:proofErr w:type="spellEnd"/>
      <w:r w:rsidR="001B7B19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, the date of mailing 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at the post office</w:t>
      </w:r>
      <w:r w:rsidR="009C6D8B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is decisive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. Priority</w:t>
      </w:r>
      <w:r w:rsidR="003608B7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in considering applications submitted by 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per</w:t>
      </w:r>
      <w:r w:rsidR="00BF198B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sons mentioned </w:t>
      </w:r>
      <w:r w:rsidR="00017F8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in point 2 of the 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Announcement </w:t>
      </w:r>
      <w:r w:rsidR="00BF198B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refers to 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applications submitted between February 1-28, 2023. Applications submitted later are considered in the order in which they are submitted for all eligible students </w:t>
      </w:r>
      <w:r w:rsidR="000C5E6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until the pool of 30 benefits has been used</w:t>
      </w:r>
      <w:r w:rsidR="0005040E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.</w:t>
      </w:r>
    </w:p>
    <w:p w:rsidR="00EF7101" w:rsidRPr="00EF7101" w:rsidRDefault="00A572E8" w:rsidP="007007DA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The decision to grant the allowance is made by the Rector of </w:t>
      </w:r>
      <w:r w:rsidR="007007DA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Lodz University of Technology.</w:t>
      </w:r>
      <w:r w:rsidR="00EF7101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</w:t>
      </w:r>
    </w:p>
    <w:p w:rsidR="00D83853" w:rsidRPr="00D83853" w:rsidRDefault="00D66FFD" w:rsidP="007007DA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The allowance</w:t>
      </w:r>
      <w:r w:rsidR="007007DA"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 is paid once to the indicated student's bank account.</w:t>
      </w:r>
    </w:p>
    <w:p w:rsidR="007007DA" w:rsidRPr="00D83853" w:rsidRDefault="007007DA" w:rsidP="007007DA">
      <w:pPr>
        <w:pStyle w:val="HTML-wstpniesformatowany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GB"/>
        </w:rPr>
      </w:pP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 xml:space="preserve">Decisions on matters not specified in this Announcement are made by the </w:t>
      </w:r>
      <w:r w:rsidR="00D83853" w:rsidRPr="00BA530A">
        <w:rPr>
          <w:rFonts w:asciiTheme="minorHAnsi" w:hAnsiTheme="minorHAnsi" w:cstheme="minorHAnsi"/>
          <w:sz w:val="32"/>
          <w:szCs w:val="32"/>
          <w:lang w:val="en-GB" w:eastAsia="ja-JP"/>
        </w:rPr>
        <w:t>Rector of T</w:t>
      </w:r>
      <w:r w:rsidRPr="00BA530A">
        <w:rPr>
          <w:rFonts w:asciiTheme="minorHAnsi" w:hAnsiTheme="minorHAnsi" w:cstheme="minorHAnsi"/>
          <w:sz w:val="32"/>
          <w:szCs w:val="32"/>
          <w:lang w:val="en-GB" w:eastAsia="ja-JP"/>
        </w:rPr>
        <w:t>UL.</w:t>
      </w:r>
    </w:p>
    <w:p w:rsidR="007007DA" w:rsidRPr="007007DA" w:rsidRDefault="007007DA" w:rsidP="0005040E">
      <w:pPr>
        <w:pStyle w:val="HTML-wstpniesformatowany"/>
        <w:rPr>
          <w:rFonts w:asciiTheme="minorHAnsi" w:hAnsiTheme="minorHAnsi" w:cstheme="minorHAnsi"/>
          <w:sz w:val="32"/>
          <w:szCs w:val="32"/>
          <w:lang w:val="en-US" w:eastAsia="ja-JP"/>
        </w:rPr>
      </w:pPr>
    </w:p>
    <w:p w:rsidR="0005040E" w:rsidRPr="007007DA" w:rsidRDefault="0005040E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US"/>
        </w:rPr>
      </w:pPr>
    </w:p>
    <w:p w:rsidR="002F1C15" w:rsidRPr="007007DA" w:rsidRDefault="002F1C15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US"/>
        </w:rPr>
      </w:pPr>
    </w:p>
    <w:p w:rsidR="005F6BD1" w:rsidRPr="007007DA" w:rsidRDefault="005F6BD1" w:rsidP="0005040E">
      <w:pPr>
        <w:pStyle w:val="HTML-wstpniesformatowany"/>
        <w:shd w:val="clear" w:color="auto" w:fill="FFFFFF" w:themeFill="background1"/>
        <w:rPr>
          <w:rFonts w:asciiTheme="minorHAnsi" w:hAnsiTheme="minorHAnsi" w:cstheme="minorHAnsi"/>
          <w:color w:val="202124"/>
          <w:sz w:val="32"/>
          <w:szCs w:val="32"/>
          <w:lang w:val="en-US"/>
        </w:rPr>
      </w:pPr>
    </w:p>
    <w:p w:rsidR="00472202" w:rsidRPr="007007DA" w:rsidRDefault="00472202" w:rsidP="000504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32"/>
          <w:szCs w:val="32"/>
          <w:lang w:val="en-US" w:eastAsia="pl-PL"/>
        </w:rPr>
      </w:pPr>
    </w:p>
    <w:p w:rsidR="009F3528" w:rsidRPr="007007DA" w:rsidRDefault="00BA530A" w:rsidP="0005040E">
      <w:pPr>
        <w:spacing w:after="0" w:line="240" w:lineRule="auto"/>
        <w:rPr>
          <w:lang w:val="en-US"/>
        </w:rPr>
      </w:pPr>
    </w:p>
    <w:sectPr w:rsidR="009F3528" w:rsidRPr="007007DA" w:rsidSect="005B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5C88"/>
    <w:multiLevelType w:val="hybridMultilevel"/>
    <w:tmpl w:val="6052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02"/>
    <w:rsid w:val="00004320"/>
    <w:rsid w:val="00017F8E"/>
    <w:rsid w:val="0005040E"/>
    <w:rsid w:val="000A41D8"/>
    <w:rsid w:val="000C5E6E"/>
    <w:rsid w:val="001A2F55"/>
    <w:rsid w:val="001A581D"/>
    <w:rsid w:val="001B105F"/>
    <w:rsid w:val="001B7B19"/>
    <w:rsid w:val="001F1F75"/>
    <w:rsid w:val="001F3971"/>
    <w:rsid w:val="00235102"/>
    <w:rsid w:val="00283493"/>
    <w:rsid w:val="002C4FC7"/>
    <w:rsid w:val="002C648A"/>
    <w:rsid w:val="002F1C15"/>
    <w:rsid w:val="00316F41"/>
    <w:rsid w:val="0035145B"/>
    <w:rsid w:val="003608B7"/>
    <w:rsid w:val="003B76ED"/>
    <w:rsid w:val="00467911"/>
    <w:rsid w:val="00472202"/>
    <w:rsid w:val="00480E2D"/>
    <w:rsid w:val="004D0FE5"/>
    <w:rsid w:val="005003DC"/>
    <w:rsid w:val="0052044F"/>
    <w:rsid w:val="005B72B6"/>
    <w:rsid w:val="005D2442"/>
    <w:rsid w:val="005F6BD1"/>
    <w:rsid w:val="006156D4"/>
    <w:rsid w:val="006540D0"/>
    <w:rsid w:val="00681250"/>
    <w:rsid w:val="00695836"/>
    <w:rsid w:val="006B2D11"/>
    <w:rsid w:val="006C532A"/>
    <w:rsid w:val="006E2F1A"/>
    <w:rsid w:val="007007DA"/>
    <w:rsid w:val="00707ABA"/>
    <w:rsid w:val="00726A30"/>
    <w:rsid w:val="007A1AAE"/>
    <w:rsid w:val="007B3EC4"/>
    <w:rsid w:val="007D6BC4"/>
    <w:rsid w:val="00816A5D"/>
    <w:rsid w:val="00847FBE"/>
    <w:rsid w:val="008538E9"/>
    <w:rsid w:val="00871833"/>
    <w:rsid w:val="0090140C"/>
    <w:rsid w:val="00924532"/>
    <w:rsid w:val="00945B3F"/>
    <w:rsid w:val="00962D59"/>
    <w:rsid w:val="00997C87"/>
    <w:rsid w:val="009C6D8B"/>
    <w:rsid w:val="009D2BC4"/>
    <w:rsid w:val="00A0124A"/>
    <w:rsid w:val="00A14C48"/>
    <w:rsid w:val="00A51841"/>
    <w:rsid w:val="00A572E8"/>
    <w:rsid w:val="00AA321C"/>
    <w:rsid w:val="00B36CF4"/>
    <w:rsid w:val="00BA530A"/>
    <w:rsid w:val="00BC172F"/>
    <w:rsid w:val="00BF198B"/>
    <w:rsid w:val="00C85C3C"/>
    <w:rsid w:val="00CF1432"/>
    <w:rsid w:val="00D065DC"/>
    <w:rsid w:val="00D161A8"/>
    <w:rsid w:val="00D658BE"/>
    <w:rsid w:val="00D66FFD"/>
    <w:rsid w:val="00D83853"/>
    <w:rsid w:val="00D95DCD"/>
    <w:rsid w:val="00DB6E96"/>
    <w:rsid w:val="00E65BED"/>
    <w:rsid w:val="00E808AB"/>
    <w:rsid w:val="00EF7101"/>
    <w:rsid w:val="00F90ECF"/>
    <w:rsid w:val="00FA53BB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B98"/>
  <w15:docId w15:val="{8C5C1759-55E3-4DFE-9C19-20EF9DA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2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220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7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PŁ</dc:creator>
  <cp:keywords/>
  <dc:description/>
  <cp:lastModifiedBy>CJ PŁ</cp:lastModifiedBy>
  <cp:revision>2</cp:revision>
  <dcterms:created xsi:type="dcterms:W3CDTF">2023-01-25T09:20:00Z</dcterms:created>
  <dcterms:modified xsi:type="dcterms:W3CDTF">2023-01-25T09:20:00Z</dcterms:modified>
</cp:coreProperties>
</file>