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06A7" w14:textId="77777777" w:rsidR="002861D5" w:rsidRPr="002861D5" w:rsidRDefault="002861D5" w:rsidP="002861D5">
      <w:pPr>
        <w:shd w:val="clear" w:color="auto" w:fill="FFFFFF"/>
        <w:rPr>
          <w:rFonts w:ascii="Titillium Web" w:hAnsi="Titillium Web"/>
          <w:color w:val="212529"/>
          <w:sz w:val="26"/>
          <w:szCs w:val="26"/>
          <w:lang w:val="en-GB" w:eastAsia="pl-PL"/>
        </w:rPr>
      </w:pPr>
    </w:p>
    <w:p w14:paraId="03731A33" w14:textId="79713F96" w:rsidR="002861D5" w:rsidRPr="002861D5" w:rsidRDefault="002861D5" w:rsidP="002861D5">
      <w:pPr>
        <w:shd w:val="clear" w:color="auto" w:fill="FFFFFF"/>
        <w:tabs>
          <w:tab w:val="left" w:pos="3240"/>
        </w:tabs>
        <w:rPr>
          <w:rFonts w:ascii="Titillium Web" w:hAnsi="Titillium Web"/>
          <w:color w:val="212529"/>
          <w:sz w:val="26"/>
          <w:szCs w:val="26"/>
          <w:lang w:val="en-GB" w:eastAsia="pl-PL"/>
        </w:rPr>
      </w:pPr>
      <w:r w:rsidRPr="002861D5">
        <w:rPr>
          <w:rFonts w:ascii="Titillium Web" w:hAnsi="Titillium Web"/>
          <w:color w:val="212529"/>
          <w:sz w:val="26"/>
          <w:szCs w:val="26"/>
          <w:lang w:val="en-GB" w:eastAsia="pl-PL"/>
        </w:rPr>
        <w:tab/>
      </w:r>
    </w:p>
    <w:p w14:paraId="71C0CEB9" w14:textId="77777777" w:rsidR="002861D5" w:rsidRPr="002861D5" w:rsidRDefault="002861D5" w:rsidP="002861D5">
      <w:pPr>
        <w:shd w:val="clear" w:color="auto" w:fill="FFFFFF"/>
        <w:rPr>
          <w:rFonts w:ascii="Titillium Web" w:hAnsi="Titillium Web"/>
          <w:color w:val="212529"/>
          <w:sz w:val="26"/>
          <w:szCs w:val="26"/>
          <w:lang w:val="en-GB" w:eastAsia="pl-PL"/>
        </w:rPr>
      </w:pPr>
    </w:p>
    <w:p w14:paraId="0CC771E4" w14:textId="77777777" w:rsidR="002861D5" w:rsidRPr="002861D5" w:rsidRDefault="002861D5" w:rsidP="002861D5">
      <w:pPr>
        <w:shd w:val="clear" w:color="auto" w:fill="FFFFFF"/>
        <w:rPr>
          <w:rFonts w:ascii="Titillium Web" w:hAnsi="Titillium Web"/>
          <w:color w:val="212529"/>
          <w:sz w:val="26"/>
          <w:szCs w:val="26"/>
          <w:lang w:val="en-GB" w:eastAsia="pl-PL"/>
        </w:rPr>
      </w:pPr>
    </w:p>
    <w:p w14:paraId="5A68F3D8" w14:textId="77777777" w:rsidR="002861D5" w:rsidRPr="002861D5" w:rsidRDefault="002861D5" w:rsidP="002861D5">
      <w:pPr>
        <w:shd w:val="clear" w:color="auto" w:fill="FFFFFF"/>
        <w:rPr>
          <w:rFonts w:ascii="Titillium Web" w:hAnsi="Titillium Web"/>
          <w:color w:val="212529"/>
          <w:sz w:val="26"/>
          <w:szCs w:val="26"/>
          <w:lang w:val="en-GB" w:eastAsia="pl-PL"/>
        </w:rPr>
      </w:pPr>
    </w:p>
    <w:p w14:paraId="075F9245" w14:textId="68F5EB59" w:rsidR="002861D5" w:rsidRPr="002861D5" w:rsidRDefault="002861D5" w:rsidP="002861D5">
      <w:pPr>
        <w:jc w:val="both"/>
        <w:rPr>
          <w:b/>
          <w:lang w:val="en-GB" w:eastAsia="pl-PL"/>
        </w:rPr>
      </w:pPr>
      <w:r w:rsidRPr="002861D5">
        <w:rPr>
          <w:noProof/>
          <w:lang w:val="en-GB" w:bidi="en-US"/>
        </w:rPr>
        <w:drawing>
          <wp:anchor distT="0" distB="0" distL="114300" distR="114300" simplePos="0" relativeHeight="251659264" behindDoc="0" locked="0" layoutInCell="1" allowOverlap="1" wp14:anchorId="7428E982" wp14:editId="6BCB151D">
            <wp:simplePos x="0" y="0"/>
            <wp:positionH relativeFrom="column">
              <wp:posOffset>-579120</wp:posOffset>
            </wp:positionH>
            <wp:positionV relativeFrom="paragraph">
              <wp:posOffset>-589915</wp:posOffset>
            </wp:positionV>
            <wp:extent cx="798830" cy="1256030"/>
            <wp:effectExtent l="0" t="0" r="1270" b="127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B0AA6" w14:textId="77777777" w:rsidR="002861D5" w:rsidRPr="002861D5" w:rsidRDefault="002861D5" w:rsidP="002861D5">
      <w:pPr>
        <w:tabs>
          <w:tab w:val="left" w:pos="709"/>
        </w:tabs>
        <w:jc w:val="center"/>
        <w:rPr>
          <w:b/>
          <w:lang w:val="en-GB"/>
        </w:rPr>
      </w:pPr>
    </w:p>
    <w:p w14:paraId="23547B3E" w14:textId="77777777" w:rsidR="002861D5" w:rsidRPr="002861D5" w:rsidRDefault="002861D5" w:rsidP="002861D5">
      <w:pPr>
        <w:tabs>
          <w:tab w:val="left" w:pos="709"/>
        </w:tabs>
        <w:jc w:val="center"/>
        <w:rPr>
          <w:b/>
          <w:lang w:val="en-GB"/>
        </w:rPr>
      </w:pPr>
    </w:p>
    <w:p w14:paraId="7B08B397" w14:textId="77777777" w:rsidR="002861D5" w:rsidRPr="002861D5" w:rsidRDefault="002861D5" w:rsidP="002861D5">
      <w:pPr>
        <w:tabs>
          <w:tab w:val="left" w:pos="709"/>
        </w:tabs>
        <w:rPr>
          <w:b/>
          <w:lang w:val="en-GB"/>
        </w:rPr>
      </w:pPr>
      <w:r w:rsidRPr="002861D5">
        <w:rPr>
          <w:b/>
          <w:lang w:val="en-GB" w:bidi="en-US"/>
        </w:rPr>
        <w:t xml:space="preserve">                                               Appendix dated March 1, 2023.</w:t>
      </w:r>
    </w:p>
    <w:p w14:paraId="17DE9F4B" w14:textId="77777777" w:rsidR="002861D5" w:rsidRPr="002861D5" w:rsidRDefault="002861D5" w:rsidP="002861D5">
      <w:pPr>
        <w:tabs>
          <w:tab w:val="left" w:pos="709"/>
        </w:tabs>
        <w:jc w:val="center"/>
        <w:rPr>
          <w:b/>
          <w:lang w:val="en-GB"/>
        </w:rPr>
      </w:pPr>
      <w:r w:rsidRPr="002861D5">
        <w:rPr>
          <w:b/>
          <w:lang w:val="en-GB" w:bidi="en-US"/>
        </w:rPr>
        <w:t xml:space="preserve">    to the Announcement</w:t>
      </w:r>
    </w:p>
    <w:p w14:paraId="5291C867" w14:textId="77777777" w:rsidR="002861D5" w:rsidRPr="002861D5" w:rsidRDefault="002861D5" w:rsidP="002861D5">
      <w:pPr>
        <w:jc w:val="center"/>
        <w:rPr>
          <w:rFonts w:eastAsia="Calibri"/>
          <w:b/>
          <w:lang w:val="en-GB" w:eastAsia="en-US"/>
        </w:rPr>
      </w:pPr>
      <w:r w:rsidRPr="002861D5">
        <w:rPr>
          <w:rFonts w:eastAsia="Calibri"/>
          <w:b/>
          <w:lang w:val="en-GB" w:bidi="en-US"/>
        </w:rPr>
        <w:t xml:space="preserve">         </w:t>
      </w:r>
      <w:bookmarkStart w:id="0" w:name="_Hlk66956718"/>
      <w:r w:rsidRPr="002861D5">
        <w:rPr>
          <w:rFonts w:eastAsia="Calibri"/>
          <w:b/>
          <w:lang w:val="en-GB" w:bidi="en-US"/>
        </w:rPr>
        <w:t xml:space="preserve">of Vice Rector for Student Affairs at TUL </w:t>
      </w:r>
    </w:p>
    <w:p w14:paraId="3DC1EE2F" w14:textId="77777777" w:rsidR="002861D5" w:rsidRPr="002861D5" w:rsidRDefault="002861D5" w:rsidP="002861D5">
      <w:pPr>
        <w:jc w:val="center"/>
        <w:rPr>
          <w:rFonts w:eastAsia="Calibri"/>
          <w:b/>
          <w:lang w:val="en-GB" w:eastAsia="en-US"/>
        </w:rPr>
      </w:pPr>
      <w:r w:rsidRPr="002861D5">
        <w:rPr>
          <w:rFonts w:eastAsia="Calibri"/>
          <w:b/>
          <w:lang w:val="en-GB" w:bidi="en-US"/>
        </w:rPr>
        <w:t xml:space="preserve">          </w:t>
      </w:r>
      <w:bookmarkStart w:id="1" w:name="_Hlk86412810"/>
      <w:r w:rsidRPr="002861D5">
        <w:rPr>
          <w:rFonts w:eastAsia="Calibri"/>
          <w:b/>
          <w:lang w:val="en-GB" w:bidi="en-US"/>
        </w:rPr>
        <w:t>dated May 30, 2022.</w:t>
      </w:r>
    </w:p>
    <w:p w14:paraId="53DB67F3" w14:textId="77777777" w:rsidR="002861D5" w:rsidRPr="002861D5" w:rsidRDefault="002861D5" w:rsidP="002861D5">
      <w:pPr>
        <w:jc w:val="center"/>
        <w:rPr>
          <w:rFonts w:eastAsia="Calibri"/>
          <w:b/>
          <w:lang w:val="en-GB" w:eastAsia="en-US"/>
        </w:rPr>
      </w:pPr>
    </w:p>
    <w:bookmarkEnd w:id="0"/>
    <w:bookmarkEnd w:id="1"/>
    <w:p w14:paraId="232FBE2E" w14:textId="77777777" w:rsidR="002861D5" w:rsidRPr="002861D5" w:rsidRDefault="002861D5" w:rsidP="002861D5">
      <w:pPr>
        <w:spacing w:after="200" w:line="276" w:lineRule="auto"/>
        <w:jc w:val="center"/>
        <w:rPr>
          <w:rFonts w:eastAsia="Calibri"/>
          <w:b/>
          <w:sz w:val="22"/>
          <w:szCs w:val="22"/>
          <w:lang w:val="en-GB" w:eastAsia="en-US"/>
        </w:rPr>
      </w:pPr>
      <w:r w:rsidRPr="002861D5">
        <w:rPr>
          <w:rFonts w:eastAsia="Calibri"/>
          <w:b/>
          <w:lang w:val="en-GB" w:bidi="en-US"/>
        </w:rPr>
        <w:t>On the amount of individual types of benefits for students and participants of doctoral studies at Lodz University of Technology in the academic year 2022/23</w:t>
      </w:r>
    </w:p>
    <w:p w14:paraId="799FA993" w14:textId="77777777" w:rsidR="002861D5" w:rsidRPr="002861D5" w:rsidRDefault="002861D5" w:rsidP="002861D5">
      <w:pPr>
        <w:spacing w:before="240"/>
        <w:ind w:firstLine="708"/>
        <w:jc w:val="both"/>
        <w:rPr>
          <w:sz w:val="22"/>
          <w:szCs w:val="22"/>
          <w:lang w:val="en-GB" w:eastAsia="pl-PL"/>
        </w:rPr>
      </w:pPr>
      <w:r w:rsidRPr="002861D5">
        <w:rPr>
          <w:sz w:val="22"/>
          <w:szCs w:val="22"/>
          <w:lang w:val="en-GB" w:bidi="en-US"/>
        </w:rPr>
        <w:t xml:space="preserve">In the announcement of the Vice-Rector for Student Affairs of the Lodz University of Technology dated 30.05.2022 </w:t>
      </w:r>
      <w:bookmarkStart w:id="2" w:name="_Hlk89154751"/>
      <w:r w:rsidRPr="002861D5">
        <w:rPr>
          <w:sz w:val="22"/>
          <w:szCs w:val="22"/>
          <w:lang w:val="en-GB" w:bidi="en-US"/>
        </w:rPr>
        <w:t xml:space="preserve">on the amount of individual types of benefits for students and participants of doctoral studies at Lodz University of Technology in the academic year 2022/23 </w:t>
      </w:r>
      <w:bookmarkEnd w:id="2"/>
      <w:r w:rsidRPr="002861D5">
        <w:rPr>
          <w:sz w:val="22"/>
          <w:szCs w:val="22"/>
          <w:lang w:val="en-GB" w:bidi="en-US"/>
        </w:rPr>
        <w:t>the following changes are made starting from the summer semester:</w:t>
      </w:r>
    </w:p>
    <w:p w14:paraId="7D395573" w14:textId="77777777" w:rsidR="002861D5" w:rsidRPr="002861D5" w:rsidRDefault="002861D5" w:rsidP="002861D5">
      <w:pPr>
        <w:numPr>
          <w:ilvl w:val="0"/>
          <w:numId w:val="1"/>
        </w:numPr>
        <w:suppressAutoHyphens w:val="0"/>
        <w:spacing w:before="240" w:after="240"/>
        <w:ind w:left="426"/>
        <w:jc w:val="both"/>
        <w:rPr>
          <w:sz w:val="22"/>
          <w:szCs w:val="22"/>
          <w:lang w:val="en-GB"/>
        </w:rPr>
      </w:pPr>
      <w:r w:rsidRPr="002861D5">
        <w:rPr>
          <w:sz w:val="22"/>
          <w:szCs w:val="22"/>
          <w:lang w:val="en-GB" w:bidi="en-US"/>
        </w:rPr>
        <w:t>(1) is replaced by the following:</w:t>
      </w:r>
    </w:p>
    <w:p w14:paraId="1B901018" w14:textId="77777777" w:rsidR="002861D5" w:rsidRPr="002861D5" w:rsidRDefault="002861D5" w:rsidP="002861D5">
      <w:pPr>
        <w:spacing w:before="240" w:after="200" w:line="276" w:lineRule="auto"/>
        <w:jc w:val="both"/>
        <w:rPr>
          <w:rFonts w:eastAsia="Calibri"/>
          <w:sz w:val="22"/>
          <w:szCs w:val="22"/>
          <w:lang w:val="en-GB"/>
        </w:rPr>
      </w:pPr>
      <w:r w:rsidRPr="002861D5">
        <w:rPr>
          <w:rFonts w:eastAsia="Calibri"/>
          <w:sz w:val="22"/>
          <w:szCs w:val="22"/>
          <w:lang w:val="en-GB" w:bidi="en-US"/>
        </w:rPr>
        <w:t>“1*. A maintenance grant/increased maintenance grant may be received by a student/doctoral student who is in a difficult financial situation, whose documented monthly income per 1 person in the family in 2021 did not exceed PLN 1294 net."</w:t>
      </w:r>
    </w:p>
    <w:p w14:paraId="00C6312E" w14:textId="77777777" w:rsidR="002861D5" w:rsidRPr="002861D5" w:rsidRDefault="002861D5" w:rsidP="002861D5">
      <w:pPr>
        <w:spacing w:before="240" w:after="200" w:line="276" w:lineRule="auto"/>
        <w:jc w:val="both"/>
        <w:rPr>
          <w:rFonts w:eastAsia="Calibri"/>
          <w:sz w:val="22"/>
          <w:szCs w:val="22"/>
          <w:lang w:val="en-GB"/>
        </w:rPr>
      </w:pPr>
      <w:r w:rsidRPr="002861D5">
        <w:rPr>
          <w:rFonts w:eastAsia="Calibri"/>
          <w:sz w:val="22"/>
          <w:szCs w:val="22"/>
          <w:lang w:val="en-GB" w:bidi="en-US"/>
        </w:rPr>
        <w:t>2.</w:t>
      </w:r>
      <w:r w:rsidRPr="002861D5">
        <w:rPr>
          <w:rFonts w:eastAsia="Calibri"/>
          <w:sz w:val="22"/>
          <w:szCs w:val="22"/>
          <w:lang w:val="en-GB" w:bidi="en-US"/>
        </w:rPr>
        <w:tab/>
        <w:t>(2) is replaced by the following:</w:t>
      </w:r>
    </w:p>
    <w:p w14:paraId="4E5957A0" w14:textId="77777777" w:rsidR="002861D5" w:rsidRPr="002861D5" w:rsidRDefault="002861D5" w:rsidP="002861D5">
      <w:pPr>
        <w:spacing w:before="240" w:after="200" w:line="276" w:lineRule="auto"/>
        <w:jc w:val="both"/>
        <w:rPr>
          <w:rFonts w:eastAsia="Calibri"/>
          <w:sz w:val="22"/>
          <w:szCs w:val="22"/>
          <w:lang w:val="en-GB"/>
        </w:rPr>
      </w:pPr>
      <w:r w:rsidRPr="002861D5">
        <w:rPr>
          <w:rFonts w:eastAsia="Calibri"/>
          <w:sz w:val="22"/>
          <w:szCs w:val="22"/>
          <w:lang w:val="en-GB" w:bidi="en-US"/>
        </w:rPr>
        <w:t>“2.</w:t>
      </w:r>
      <w:r w:rsidRPr="002861D5">
        <w:rPr>
          <w:rFonts w:eastAsia="Calibri"/>
          <w:sz w:val="22"/>
          <w:szCs w:val="22"/>
          <w:lang w:val="en-GB" w:bidi="en-US"/>
        </w:rPr>
        <w:tab/>
        <w:t>The amount of the maintenance grant is the difference of the amount referred to in (1) and the amount of monthly net income per person in the student's/doctoral student's family in 2021, increased by a fixed amount of PLN 400. The total amount of the maintenance grant awarded is:</w:t>
      </w:r>
    </w:p>
    <w:p w14:paraId="54836B84" w14:textId="77777777" w:rsidR="002861D5" w:rsidRPr="002861D5" w:rsidRDefault="002861D5" w:rsidP="002861D5">
      <w:pPr>
        <w:spacing w:before="240" w:after="200" w:line="276" w:lineRule="auto"/>
        <w:jc w:val="both"/>
        <w:rPr>
          <w:rFonts w:eastAsia="Calibri"/>
          <w:sz w:val="22"/>
          <w:szCs w:val="22"/>
          <w:lang w:val="en-GB"/>
        </w:rPr>
      </w:pPr>
      <w:r w:rsidRPr="002861D5">
        <w:rPr>
          <w:rFonts w:eastAsia="Calibri"/>
          <w:sz w:val="22"/>
          <w:szCs w:val="22"/>
          <w:lang w:val="en-GB" w:bidi="en-US"/>
        </w:rPr>
        <w:t xml:space="preserve">- maximum - PLN 1694, </w:t>
      </w:r>
    </w:p>
    <w:p w14:paraId="50C09CD1" w14:textId="77777777" w:rsidR="002861D5" w:rsidRPr="002861D5" w:rsidRDefault="002861D5" w:rsidP="002861D5">
      <w:pPr>
        <w:spacing w:before="240" w:after="200" w:line="276" w:lineRule="auto"/>
        <w:jc w:val="both"/>
        <w:rPr>
          <w:rFonts w:eastAsia="Calibri"/>
          <w:sz w:val="22"/>
          <w:szCs w:val="22"/>
          <w:lang w:val="en-GB"/>
        </w:rPr>
      </w:pPr>
      <w:r w:rsidRPr="002861D5">
        <w:rPr>
          <w:rFonts w:eastAsia="Calibri"/>
          <w:sz w:val="22"/>
          <w:szCs w:val="22"/>
          <w:lang w:val="en-GB" w:bidi="en-US"/>
        </w:rPr>
        <w:t>- At a minimum - PLN 500 per month."</w:t>
      </w:r>
    </w:p>
    <w:p w14:paraId="084CCD0E" w14:textId="77777777" w:rsidR="002861D5" w:rsidRPr="002861D5" w:rsidRDefault="002861D5" w:rsidP="002861D5">
      <w:pPr>
        <w:spacing w:before="240" w:after="200" w:line="276" w:lineRule="auto"/>
        <w:jc w:val="both"/>
        <w:rPr>
          <w:rFonts w:eastAsia="Calibri"/>
          <w:sz w:val="22"/>
          <w:szCs w:val="22"/>
          <w:lang w:val="en-GB" w:eastAsia="en-US"/>
        </w:rPr>
      </w:pPr>
      <w:r w:rsidRPr="002861D5">
        <w:rPr>
          <w:rFonts w:eastAsia="Calibri"/>
          <w:sz w:val="22"/>
          <w:szCs w:val="22"/>
          <w:lang w:val="en-GB" w:bidi="en-US"/>
        </w:rPr>
        <w:t>3. Other provisions of the Announcement remain unchanged.</w:t>
      </w:r>
    </w:p>
    <w:p w14:paraId="05633E5F" w14:textId="77777777" w:rsidR="002861D5" w:rsidRPr="002861D5" w:rsidRDefault="002861D5" w:rsidP="002861D5">
      <w:pPr>
        <w:spacing w:before="240" w:after="200" w:line="276" w:lineRule="auto"/>
        <w:jc w:val="both"/>
        <w:rPr>
          <w:rFonts w:eastAsia="Calibri"/>
          <w:sz w:val="22"/>
          <w:szCs w:val="22"/>
          <w:lang w:val="en-GB" w:eastAsia="en-US"/>
        </w:rPr>
      </w:pPr>
      <w:r w:rsidRPr="002861D5">
        <w:rPr>
          <w:rFonts w:eastAsia="Calibri"/>
          <w:sz w:val="22"/>
          <w:szCs w:val="22"/>
          <w:lang w:val="en-GB" w:bidi="en-US"/>
        </w:rPr>
        <w:t>4. The Appendix comes into force on the date of signature.</w:t>
      </w:r>
    </w:p>
    <w:p w14:paraId="4B5C8366" w14:textId="77777777" w:rsidR="002861D5" w:rsidRPr="002861D5" w:rsidRDefault="002861D5" w:rsidP="002861D5">
      <w:pPr>
        <w:spacing w:after="200" w:line="276" w:lineRule="auto"/>
        <w:ind w:left="426" w:hanging="426"/>
        <w:jc w:val="both"/>
        <w:rPr>
          <w:sz w:val="22"/>
          <w:szCs w:val="22"/>
          <w:lang w:val="en-GB"/>
        </w:rPr>
      </w:pPr>
    </w:p>
    <w:p w14:paraId="3729C56F" w14:textId="77777777" w:rsidR="002861D5" w:rsidRPr="002861D5" w:rsidRDefault="002861D5" w:rsidP="002861D5">
      <w:pPr>
        <w:spacing w:after="200" w:line="276" w:lineRule="auto"/>
        <w:ind w:left="6516" w:hanging="426"/>
        <w:jc w:val="both"/>
        <w:rPr>
          <w:i/>
          <w:iCs/>
          <w:sz w:val="22"/>
          <w:szCs w:val="22"/>
          <w:lang w:val="en-GB"/>
        </w:rPr>
      </w:pPr>
      <w:r w:rsidRPr="002861D5">
        <w:rPr>
          <w:i/>
          <w:sz w:val="22"/>
          <w:szCs w:val="22"/>
          <w:lang w:val="en-GB" w:bidi="en-US"/>
        </w:rPr>
        <w:t>Vice-Rector for Student Affairs</w:t>
      </w:r>
    </w:p>
    <w:p w14:paraId="588803F2" w14:textId="77777777" w:rsidR="002861D5" w:rsidRPr="002861D5" w:rsidRDefault="002861D5" w:rsidP="002861D5">
      <w:pPr>
        <w:spacing w:after="200" w:line="276" w:lineRule="auto"/>
        <w:ind w:left="6516" w:hanging="426"/>
        <w:jc w:val="both"/>
        <w:rPr>
          <w:i/>
          <w:iCs/>
          <w:sz w:val="22"/>
          <w:szCs w:val="22"/>
          <w:lang w:val="en-GB"/>
        </w:rPr>
      </w:pPr>
      <w:r w:rsidRPr="002861D5">
        <w:rPr>
          <w:i/>
          <w:sz w:val="22"/>
          <w:szCs w:val="22"/>
          <w:lang w:val="en-GB" w:bidi="en-US"/>
        </w:rPr>
        <w:t>Lodz University of Technology</w:t>
      </w:r>
    </w:p>
    <w:p w14:paraId="750C45D5" w14:textId="77777777" w:rsidR="002861D5" w:rsidRPr="002861D5" w:rsidRDefault="002861D5" w:rsidP="002861D5">
      <w:pPr>
        <w:spacing w:after="200" w:line="276" w:lineRule="auto"/>
        <w:ind w:left="426" w:hanging="426"/>
        <w:jc w:val="both"/>
        <w:rPr>
          <w:sz w:val="22"/>
          <w:szCs w:val="22"/>
          <w:lang w:val="en-GB"/>
        </w:rPr>
      </w:pPr>
    </w:p>
    <w:p w14:paraId="72E0044C" w14:textId="77777777" w:rsidR="002861D5" w:rsidRPr="002861D5" w:rsidRDefault="002861D5" w:rsidP="002861D5">
      <w:pPr>
        <w:spacing w:after="200" w:line="276" w:lineRule="auto"/>
        <w:ind w:left="426" w:hanging="426"/>
        <w:jc w:val="both"/>
        <w:rPr>
          <w:sz w:val="22"/>
          <w:szCs w:val="22"/>
          <w:lang w:val="en-GB"/>
        </w:rPr>
      </w:pPr>
    </w:p>
    <w:p w14:paraId="1711C4A2" w14:textId="77777777" w:rsidR="002861D5" w:rsidRPr="002861D5" w:rsidRDefault="002861D5" w:rsidP="002861D5">
      <w:pPr>
        <w:spacing w:after="200" w:line="276" w:lineRule="auto"/>
        <w:ind w:left="426" w:hanging="426"/>
        <w:jc w:val="both"/>
        <w:rPr>
          <w:sz w:val="22"/>
          <w:szCs w:val="22"/>
          <w:lang w:val="en-GB"/>
        </w:rPr>
      </w:pPr>
    </w:p>
    <w:p w14:paraId="1FB1396B" w14:textId="77777777" w:rsidR="002861D5" w:rsidRPr="002861D5" w:rsidRDefault="002861D5" w:rsidP="002861D5">
      <w:pPr>
        <w:spacing w:after="200" w:line="276" w:lineRule="auto"/>
        <w:ind w:left="426" w:hanging="426"/>
        <w:jc w:val="both"/>
        <w:rPr>
          <w:sz w:val="22"/>
          <w:szCs w:val="22"/>
          <w:lang w:val="en-GB"/>
        </w:rPr>
      </w:pPr>
    </w:p>
    <w:p w14:paraId="6CF48B0B" w14:textId="77777777" w:rsidR="002861D5" w:rsidRPr="002861D5" w:rsidRDefault="002861D5" w:rsidP="002861D5">
      <w:pPr>
        <w:spacing w:after="200" w:line="276" w:lineRule="auto"/>
        <w:ind w:left="426" w:hanging="426"/>
        <w:jc w:val="both"/>
        <w:rPr>
          <w:sz w:val="22"/>
          <w:szCs w:val="22"/>
          <w:lang w:val="en-GB"/>
        </w:rPr>
      </w:pPr>
    </w:p>
    <w:p w14:paraId="7C8728A4" w14:textId="77777777" w:rsidR="002861D5" w:rsidRPr="002861D5" w:rsidRDefault="002861D5" w:rsidP="002861D5">
      <w:pPr>
        <w:spacing w:after="200" w:line="276" w:lineRule="auto"/>
        <w:ind w:left="426" w:hanging="426"/>
        <w:jc w:val="both"/>
        <w:rPr>
          <w:sz w:val="22"/>
          <w:szCs w:val="22"/>
          <w:lang w:val="en-GB"/>
        </w:rPr>
      </w:pPr>
    </w:p>
    <w:p w14:paraId="682F2153" w14:textId="77777777" w:rsidR="002861D5" w:rsidRPr="002861D5" w:rsidRDefault="002861D5" w:rsidP="002861D5">
      <w:pPr>
        <w:spacing w:after="200" w:line="276" w:lineRule="auto"/>
        <w:ind w:left="397" w:hanging="397"/>
        <w:jc w:val="both"/>
        <w:rPr>
          <w:rFonts w:eastAsia="Calibri"/>
          <w:i/>
          <w:iCs/>
          <w:sz w:val="18"/>
          <w:szCs w:val="18"/>
          <w:lang w:val="en-GB"/>
        </w:rPr>
      </w:pPr>
      <w:r w:rsidRPr="002861D5">
        <w:rPr>
          <w:rFonts w:eastAsia="Calibri"/>
          <w:i/>
          <w:sz w:val="18"/>
          <w:szCs w:val="18"/>
          <w:lang w:val="en-GB" w:bidi="en-US"/>
        </w:rPr>
        <w:t>* NOTE: the amounts referred to in (1), (10) and (11) depend on the provisions of higher-level acts and are subject to change. Any changes will be communicated to students/doctoral students in subsequent announcements.</w:t>
      </w:r>
    </w:p>
    <w:p w14:paraId="731E4FD5" w14:textId="77777777" w:rsidR="002861D5" w:rsidRPr="002861D5" w:rsidRDefault="002861D5" w:rsidP="002861D5">
      <w:pPr>
        <w:shd w:val="clear" w:color="auto" w:fill="FFFFFF"/>
        <w:rPr>
          <w:rFonts w:ascii="Titillium Web" w:hAnsi="Titillium Web"/>
          <w:color w:val="212529"/>
          <w:sz w:val="26"/>
          <w:szCs w:val="26"/>
          <w:lang w:val="en-GB" w:eastAsia="pl-PL"/>
        </w:rPr>
      </w:pPr>
    </w:p>
    <w:p w14:paraId="6CE980AF" w14:textId="77777777" w:rsidR="002861D5" w:rsidRPr="002861D5" w:rsidRDefault="002861D5" w:rsidP="002861D5">
      <w:pPr>
        <w:shd w:val="clear" w:color="auto" w:fill="FFFFFF"/>
        <w:rPr>
          <w:rFonts w:ascii="Titillium Web" w:hAnsi="Titillium Web"/>
          <w:color w:val="212529"/>
          <w:sz w:val="26"/>
          <w:szCs w:val="26"/>
          <w:lang w:val="en-GB" w:eastAsia="pl-PL"/>
        </w:rPr>
      </w:pPr>
    </w:p>
    <w:p w14:paraId="54FA9F67" w14:textId="77777777" w:rsidR="002861D5" w:rsidRPr="002861D5" w:rsidRDefault="002861D5" w:rsidP="002861D5">
      <w:pPr>
        <w:spacing w:after="200" w:line="276" w:lineRule="auto"/>
        <w:jc w:val="both"/>
        <w:rPr>
          <w:rFonts w:eastAsia="Calibri"/>
          <w:sz w:val="16"/>
          <w:szCs w:val="16"/>
          <w:lang w:val="en-GB"/>
        </w:rPr>
      </w:pPr>
    </w:p>
    <w:p w14:paraId="401C0086" w14:textId="77777777" w:rsidR="002861D5" w:rsidRPr="002861D5" w:rsidRDefault="002861D5">
      <w:pPr>
        <w:rPr>
          <w:lang w:val="en-GB"/>
        </w:rPr>
      </w:pPr>
    </w:p>
    <w:sectPr w:rsidR="002861D5" w:rsidRPr="002861D5">
      <w:pgSz w:w="11906" w:h="16838"/>
      <w:pgMar w:top="238" w:right="340" w:bottom="244" w:left="34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E04D0"/>
    <w:multiLevelType w:val="hybridMultilevel"/>
    <w:tmpl w:val="60FE741E"/>
    <w:lvl w:ilvl="0" w:tplc="92C294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014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D5"/>
    <w:rsid w:val="002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9D9E"/>
  <w15:chartTrackingRefBased/>
  <w15:docId w15:val="{04289A0E-92B9-4649-8861-D940C6A1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Wodarczyk S2</dc:creator>
  <cp:keywords/>
  <dc:description/>
  <cp:lastModifiedBy>Łukasz Wodarczyk S2</cp:lastModifiedBy>
  <cp:revision>1</cp:revision>
  <dcterms:created xsi:type="dcterms:W3CDTF">2023-03-05T09:18:00Z</dcterms:created>
  <dcterms:modified xsi:type="dcterms:W3CDTF">2023-03-05T09:20:00Z</dcterms:modified>
</cp:coreProperties>
</file>