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9DEB0" w14:textId="3EA2BA4A">
      <w:pPr>
        <w:jc w:val="center"/>
        <w:rPr>
          <w:rFonts w:ascii="Tahoma" w:hAnsi="Tahoma" w:cs="Tahoma"/>
          <w:color w:val="000000" w:themeColor="text1"/>
        </w:rPr>
        <w:pStyle w:val="P68B1DB1-Normalny1"/>
      </w:pPr>
      <w:r>
        <w:drawing>
          <wp:anchor distT="0" distB="0" distL="114300" distR="114300" simplePos="0" relativeHeight="251657728" behindDoc="0" locked="0" layoutInCell="1" allowOverlap="1" wp14:anchorId="3CD582C4" wp14:editId="5E0521CB">
            <wp:simplePos x="0" y="0"/>
            <wp:positionH relativeFrom="column">
              <wp:posOffset>0</wp:posOffset>
            </wp:positionH>
            <wp:positionV relativeFrom="page">
              <wp:posOffset>313055</wp:posOffset>
            </wp:positionV>
            <wp:extent cx="799200" cy="1256400"/>
            <wp:effectExtent l="0" t="0" r="1270" b="1270"/>
            <wp:wrapSquare wrapText="bothSides"/>
            <wp:docPr id="2" name="Obraz 4" descr="logo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2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9200" cy="1256400"/>
                    </a:xfrm>
                    <a:prstGeom prst="rect">
                      <a:avLst/>
                    </a:prstGeom>
                    <a:noFill/>
                    <a:ln>
                      <a:noFill/>
                    </a:ln>
                  </pic:spPr>
                </pic:pic>
              </a:graphicData>
            </a:graphic>
            <wp14:sizeRelH relativeFrom="page">
              <wp14:pctWidth>0</wp14:pctWidth>
            </wp14:sizeRelH>
            <wp14:sizeRelV relativeFrom="page">
              <wp14:pctHeight>0</wp14:pctHeight>
            </wp14:sizeRelV>
          </wp:anchor>
        </w:drawing>
        <w:t xml:space="preserve">Ordinance No. 4/2024</w:t>
      </w:r>
    </w:p>
    <w:p w14:paraId="0970C69B" w14:textId="77777777">
      <w:pPr>
        <w:jc w:val="center"/>
        <w:rPr>
          <w:rFonts w:ascii="Tahoma" w:hAnsi="Tahoma" w:cs="Tahoma"/>
          <w:color w:val="000000" w:themeColor="text1"/>
        </w:rPr>
        <w:pStyle w:val="P68B1DB1-Normalny2"/>
      </w:pPr>
      <w:r>
        <w:t xml:space="preserve">Rector of Lodz University of Technology</w:t>
      </w:r>
    </w:p>
    <w:p w14:paraId="467FD26B" w14:textId="47640C1D">
      <w:pPr>
        <w:jc w:val="center"/>
        <w:rPr>
          <w:rFonts w:ascii="Tahoma" w:hAnsi="Tahoma" w:cs="Tahoma"/>
          <w:color w:val="000000" w:themeColor="text1"/>
        </w:rPr>
        <w:pStyle w:val="P68B1DB1-Normalny2"/>
      </w:pPr>
      <w:r>
        <w:t xml:space="preserve">of 22 February 2024</w:t>
      </w:r>
    </w:p>
    <w:p w14:paraId="30B82FDC" w14:textId="30DA9D2E">
      <w:pPr>
        <w:spacing w:before="120"/>
        <w:ind w:left="1418"/>
        <w:jc w:val="center"/>
        <w:rPr>
          <w:rFonts w:ascii="Tahoma" w:hAnsi="Tahoma" w:cs="Tahoma"/>
          <w:color w:val="000000" w:themeColor="text1"/>
        </w:rPr>
        <w:pStyle w:val="P68B1DB1-Normalny2"/>
      </w:pPr>
      <w:r>
        <w:t xml:space="preserve">amending Ordinance No. 50/2022 of the Rector of Lodz University of Technology</w:t>
      </w:r>
      <w:r>
        <w:br/>
        <w:t xml:space="preserve">of September 28, 2022 on the survey of the educational process</w:t>
      </w:r>
      <w:r>
        <w:br/>
        <w:t xml:space="preserve">at Lodz University of Technology</w:t>
      </w:r>
    </w:p>
    <w:p w14:paraId="2510CE5C" w14:textId="77777777">
      <w:pPr>
        <w:spacing w:before="120"/>
        <w:rPr>
          <w:color w:val="000000" w:themeColor="text1"/>
        </w:rPr>
      </w:pPr>
    </w:p>
    <w:p w14:paraId="10C9652F" w14:textId="77777777">
      <w:pPr>
        <w:spacing w:before="120"/>
        <w:rPr>
          <w:color w:val="000000" w:themeColor="text1"/>
        </w:rPr>
      </w:pPr>
    </w:p>
    <w:p w14:paraId="193B73AC" w14:textId="651B5495">
      <w:pPr>
        <w:spacing w:before="120"/>
        <w:jc w:val="both"/>
        <w:rPr>
          <w:color w:val="000000" w:themeColor="text1"/>
        </w:rPr>
        <w:pStyle w:val="P68B1DB1-Normalny3"/>
      </w:pPr>
      <w:r>
        <w:t xml:space="preserve">Pursuant to Article 23, section 1 and section 2 point 2 of the Act of July 20, 2018 – Law on Higher Education and Science (i.e. Polish Journal of Laws of 2023, item 742, as amended), § 14 section 1 and section 2 of the Statute of Lodz University of Technology – Resolution No. 88/2019 of the Senate of Lodz University of Technology of July 10, 2019 and §11 section 2 of Ordinance No. 21/2022 of the Rector of Lodz University of Technology of March 30, 2022 on the Internal Quality Assurance System of Education at Lodz University of Technology, I order the following:</w:t>
      </w:r>
    </w:p>
    <w:p w14:paraId="18D15EC9" w14:textId="77777777">
      <w:pPr>
        <w:tabs>
          <w:tab w:val="left" w:pos="180"/>
        </w:tabs>
        <w:spacing w:before="120"/>
        <w:jc w:val="center"/>
        <w:rPr>
          <w:color w:val="000000" w:themeColor="text1"/>
          <w:kern w:val="0"/>
        </w:rPr>
        <w:pStyle w:val="P68B1DB1-Normalny4"/>
      </w:pPr>
      <w:r>
        <w:t>§1</w:t>
      </w:r>
    </w:p>
    <w:p w14:paraId="332DFB92" w14:textId="730F336B">
      <w:pPr>
        <w:spacing w:before="120"/>
        <w:jc w:val="both"/>
        <w:rPr>
          <w:color w:val="000000" w:themeColor="text1"/>
        </w:rPr>
        <w:pStyle w:val="P68B1DB1-Normalny3"/>
      </w:pPr>
      <w:r>
        <w:rPr>
          <w:kern w:val="0"/>
        </w:rPr>
        <w:t xml:space="preserve">Ordinance No. 50/2022 of the Rector of Lodz University of Technology of September 28, 2022 on the survey of the educational process at Lodz University of Technology in the Annex to the Ordinance </w:t>
      </w:r>
      <w:r>
        <w:t xml:space="preserve">is amended as follows:</w:t>
      </w:r>
    </w:p>
    <w:p w14:paraId="2ED9137E" w14:textId="3E18E0A2">
      <w:pPr>
        <w:spacing w:before="120"/>
        <w:jc w:val="both"/>
      </w:pPr>
      <w:r>
        <w:t>1)</w:t>
        <w:tab/>
        <w:t xml:space="preserve">in §5, section 4;</w:t>
      </w:r>
    </w:p>
    <w:p w14:paraId="65A57ECB" w14:textId="380FA633">
      <w:pPr>
        <w:spacing w:before="120"/>
        <w:ind w:left="425" w:hanging="425"/>
        <w:jc w:val="both"/>
        <w:rPr>
          <w:color w:val="000000" w:themeColor="text1"/>
          <w:kern w:val="22"/>
        </w:rPr>
        <w:pStyle w:val="P68B1DB1-Normalny5"/>
      </w:pPr>
      <w:r>
        <w:t>2)</w:t>
        <w:tab/>
        <w:t xml:space="preserve">§11 and §12 shall be replaced by the following:</w:t>
      </w:r>
    </w:p>
    <w:p w14:paraId="18FE2045" w14:textId="77777777">
      <w:pPr>
        <w:spacing w:before="120"/>
        <w:jc w:val="center"/>
        <w:rPr>
          <w:color w:val="000000" w:themeColor="text1"/>
        </w:rPr>
        <w:pStyle w:val="P68B1DB1-Normalny3"/>
      </w:pPr>
      <w:r>
        <w:t>"§11</w:t>
      </w:r>
    </w:p>
    <w:p w14:paraId="0618CC83" w14:textId="649C3153">
      <w:pPr>
        <w:spacing w:before="120"/>
        <w:ind w:left="425"/>
        <w:jc w:val="both"/>
        <w:rPr>
          <w:color w:val="000000" w:themeColor="text1"/>
        </w:rPr>
        <w:pStyle w:val="P68B1DB1-Normalny3"/>
      </w:pPr>
      <w:r>
        <w:t xml:space="preserve">The mid-term diagnostic survey (SAD) is carried out among all students of Lodz University of Technology for all subjects in the middle of the period of their implementation §6.</w:t>
      </w:r>
    </w:p>
    <w:p w14:paraId="260392FA" w14:textId="353D1A4E">
      <w:pPr>
        <w:spacing w:before="120"/>
        <w:jc w:val="center"/>
        <w:rPr>
          <w:color w:val="000000" w:themeColor="text1"/>
        </w:rPr>
        <w:pStyle w:val="P68B1DB1-Normalny3"/>
      </w:pPr>
      <w:r>
        <w:t>§12</w:t>
      </w:r>
    </w:p>
    <w:p w14:paraId="006A611C" w14:textId="31C97576">
      <w:pPr>
        <w:spacing w:before="120"/>
        <w:ind w:left="425"/>
        <w:jc w:val="both"/>
        <w:rPr>
          <w:color w:val="000000" w:themeColor="text1"/>
        </w:rPr>
        <w:pStyle w:val="P68B1DB1-Normalny3"/>
      </w:pPr>
      <w:r>
        <w:t xml:space="preserve">In the mid-term diagnostic survey, a six-point grading scale from 2 to 5 (2; 3; 3.5; 4; 4.5; 5) is used, with the average of its grades greater than or equal to 3 being considered as a positive SAD result.";</w:t>
      </w:r>
    </w:p>
    <w:p w14:paraId="12C360B7" w14:textId="66F890C0">
      <w:pPr>
        <w:spacing w:before="120"/>
        <w:jc w:val="both"/>
        <w:rPr>
          <w:color w:val="000000" w:themeColor="text1"/>
        </w:rPr>
        <w:pStyle w:val="P68B1DB1-Normalny3"/>
      </w:pPr>
      <w:r>
        <w:rPr>
          <w:kern w:val="22"/>
        </w:rPr>
        <w:t>3)</w:t>
        <w:tab/>
      </w:r>
      <w:r>
        <w:t xml:space="preserve">after §12, section §12a is added:</w:t>
      </w:r>
    </w:p>
    <w:p w14:paraId="6C621622" w14:textId="77777777">
      <w:pPr>
        <w:spacing w:before="120"/>
        <w:jc w:val="center"/>
        <w:rPr>
          <w:color w:val="000000" w:themeColor="text1"/>
        </w:rPr>
        <w:pStyle w:val="P68B1DB1-Normalny3"/>
      </w:pPr>
      <w:r>
        <w:t>"§12a</w:t>
      </w:r>
    </w:p>
    <w:p w14:paraId="09F80566" w14:textId="2727CE3A">
      <w:pPr>
        <w:spacing w:before="120"/>
        <w:ind w:left="425"/>
        <w:jc w:val="both"/>
        <w:rPr>
          <w:color w:val="000000" w:themeColor="text1"/>
        </w:rPr>
        <w:pStyle w:val="P68B1DB1-Normalny3"/>
      </w:pPr>
      <w:r>
        <w:t xml:space="preserve">The returnability OF SAD is determined based on the number of students taking classes in the surveyed subject. At the same time, the following criteria for determining the reliability of SAD are adopted:</w:t>
      </w:r>
    </w:p>
    <w:p w14:paraId="0AF3D507" w14:textId="25812775">
      <w:pPr>
        <w:pStyle w:val="P68B1DB1-Akapitzlist6"/>
        <w:spacing w:before="120"/>
        <w:ind w:left="1276" w:hanging="425"/>
        <w:contextualSpacing w:val="0"/>
        <w:jc w:val="both"/>
        <w:rPr>
          <w:rFonts w:eastAsiaTheme="minorHAnsi"/>
          <w:color w:val="000000" w:themeColor="text1"/>
          <w:kern w:val="2"/>
          <w14:ligatures w14:val="standardContextual"/>
        </w:rPr>
      </w:pPr>
      <w:r>
        <w:t>1)</w:t>
        <w:tab/>
        <w:t xml:space="preserve">for a group of fewer than 30 people – the minimum reliable return is 3 surveys;</w:t>
      </w:r>
    </w:p>
    <w:p w14:paraId="0FAA77F2" w14:textId="19084ACE">
      <w:pPr>
        <w:pStyle w:val="P68B1DB1-Akapitzlist6"/>
        <w:spacing w:before="120"/>
        <w:ind w:left="1276" w:hanging="425"/>
        <w:contextualSpacing w:val="0"/>
        <w:jc w:val="both"/>
        <w:rPr>
          <w:rFonts w:eastAsiaTheme="minorHAnsi"/>
          <w:color w:val="000000" w:themeColor="text1"/>
          <w:kern w:val="2"/>
          <w14:ligatures w14:val="standardContextual"/>
        </w:rPr>
      </w:pPr>
      <w:r>
        <w:t>2)</w:t>
        <w:tab/>
        <w:t xml:space="preserve">for a group of at least 30 people – the minimum reliable return is 10% of the group size".;</w:t>
      </w:r>
    </w:p>
    <w:p w14:paraId="47C0A8D7" w14:textId="76885528">
      <w:pPr>
        <w:spacing w:before="120"/>
        <w:jc w:val="both"/>
        <w:rPr>
          <w:color w:val="000000" w:themeColor="text1"/>
          <w:kern w:val="22"/>
        </w:rPr>
        <w:pStyle w:val="P68B1DB1-Normalny5"/>
      </w:pPr>
      <w:r>
        <w:t>4)</w:t>
        <w:tab/>
        <w:t xml:space="preserve">§13 shall be replaced by the following:</w:t>
      </w:r>
    </w:p>
    <w:p w14:paraId="451A2B07" w14:textId="77777777">
      <w:pPr>
        <w:spacing w:before="120"/>
        <w:jc w:val="center"/>
        <w:rPr>
          <w:color w:val="000000" w:themeColor="text1"/>
        </w:rPr>
        <w:pStyle w:val="P68B1DB1-Normalny3"/>
      </w:pPr>
      <w:r>
        <w:t>"§13</w:t>
      </w:r>
    </w:p>
    <w:p w14:paraId="17F18D1A" w14:textId="76C76878">
      <w:pPr>
        <w:spacing w:before="120"/>
        <w:ind w:left="850" w:hanging="425"/>
        <w:jc w:val="both"/>
        <w:rPr>
          <w:color w:val="000000" w:themeColor="text1"/>
        </w:rPr>
        <w:pStyle w:val="P68B1DB1-Normalny3"/>
      </w:pPr>
      <w:r>
        <w:t>1.</w:t>
        <w:tab/>
        <w:t xml:space="preserve">If the returnability of the SAD meets the criteria of §12a and its result is positive, the result is sent to the subject manager and the head of the independent organizational unit or a person acting under his authority. The course manager communicates the results of SAD to the course implementers.</w:t>
      </w:r>
    </w:p>
    <w:p w14:paraId="0B3E7F22" w14:textId="2185B52B">
      <w:pPr>
        <w:spacing w:before="120"/>
        <w:ind w:left="850" w:hanging="425"/>
        <w:jc w:val="both"/>
        <w:rPr>
          <w:color w:val="000000" w:themeColor="text1"/>
        </w:rPr>
        <w:pStyle w:val="P68B1DB1-Normalny3"/>
      </w:pPr>
      <w:r>
        <w:t>2.</w:t>
        <w:tab/>
        <w:t xml:space="preserve">If the returnability of the SAD meets the criteria of §12a and its result is negative, the result is sent to the head of the independent organizational unit or a person acting under his authority who decides on the need for pro-quality activities. In the case of returnability greater than 30%, taking action is mandatory.";</w:t>
      </w:r>
    </w:p>
    <w:p w14:paraId="509E72B9" w14:textId="77777777">
      <w:pPr>
        <w:spacing w:before="120"/>
        <w:rPr>
          <w:color w:val="000000" w:themeColor="text1"/>
        </w:rPr>
        <w:pStyle w:val="P68B1DB1-Normalny3"/>
      </w:pPr>
      <w:r>
        <w:br w:type="page"/>
      </w:r>
    </w:p>
    <w:p w14:paraId="186EE953" w14:textId="647B0D75">
      <w:pPr>
        <w:spacing w:before="120"/>
        <w:jc w:val="both"/>
        <w:rPr>
          <w:color w:val="000000" w:themeColor="text1"/>
          <w:kern w:val="22"/>
        </w:rPr>
        <w:pStyle w:val="P68B1DB1-Normalny5"/>
      </w:pPr>
      <w:r>
        <w:t>5)</w:t>
        <w:tab/>
        <w:t xml:space="preserve">§17 shall be replaced by the following:</w:t>
      </w:r>
    </w:p>
    <w:p w14:paraId="71F9DA4F" w14:textId="77777777">
      <w:pPr>
        <w:spacing w:before="120"/>
        <w:jc w:val="center"/>
        <w:rPr>
          <w:color w:val="000000" w:themeColor="text1"/>
        </w:rPr>
        <w:pStyle w:val="P68B1DB1-Normalny3"/>
      </w:pPr>
      <w:r>
        <w:t>"§17</w:t>
      </w:r>
    </w:p>
    <w:p w14:paraId="1938FBA4" w14:textId="77777777">
      <w:pPr>
        <w:spacing w:before="120"/>
        <w:ind w:left="567"/>
        <w:jc w:val="both"/>
        <w:rPr>
          <w:color w:val="000000" w:themeColor="text1"/>
        </w:rPr>
        <w:pStyle w:val="P68B1DB1-Normalny3"/>
      </w:pPr>
      <w:r>
        <w:t xml:space="preserve">The AP survey includes the assessment of:</w:t>
      </w:r>
    </w:p>
    <w:p w14:paraId="3A1A8EA2" w14:textId="77777777">
      <w:pPr>
        <w:spacing w:before="120"/>
        <w:ind w:left="993" w:hanging="426"/>
        <w:jc w:val="both"/>
        <w:rPr>
          <w:color w:val="000000" w:themeColor="text1"/>
        </w:rPr>
        <w:pStyle w:val="P68B1DB1-Normalny3"/>
      </w:pPr>
      <w:r>
        <w:t>1)</w:t>
        <w:tab/>
        <w:t xml:space="preserve">of the subject/module, taking into account, among others, learning outcomes, selection of subject content and assessment methods, didactic materials;</w:t>
      </w:r>
    </w:p>
    <w:p w14:paraId="27DE9E57" w14:textId="77777777">
      <w:pPr>
        <w:spacing w:before="120"/>
        <w:ind w:left="993" w:hanging="426"/>
        <w:jc w:val="both"/>
        <w:rPr>
          <w:color w:val="000000" w:themeColor="text1"/>
        </w:rPr>
        <w:pStyle w:val="P68B1DB1-Normalny3"/>
      </w:pPr>
      <w:r>
        <w:t>2)</w:t>
        <w:tab/>
        <w:t xml:space="preserve">conducting the course, taking into account, among others, compliance with the course card, organization of classes, methods of activating students and criteria for assessing the achievement of learning outcomes, feedback;</w:t>
      </w:r>
    </w:p>
    <w:p w14:paraId="226D4001" w14:textId="77777777">
      <w:pPr>
        <w:spacing w:before="120"/>
        <w:ind w:left="993" w:hanging="426"/>
        <w:jc w:val="both"/>
        <w:rPr>
          <w:color w:val="000000" w:themeColor="text1"/>
        </w:rPr>
        <w:pStyle w:val="P68B1DB1-Normalny3"/>
      </w:pPr>
      <w:r>
        <w:t>3)</w:t>
        <w:tab/>
        <w:t xml:space="preserve">student involvement in the assessed classes;</w:t>
      </w:r>
    </w:p>
    <w:p w14:paraId="543D3C61" w14:textId="2FFC84F4">
      <w:pPr>
        <w:spacing w:before="120"/>
        <w:ind w:left="993" w:hanging="426"/>
        <w:jc w:val="both"/>
        <w:rPr>
          <w:color w:val="000000" w:themeColor="text1"/>
        </w:rPr>
        <w:pStyle w:val="P68B1DB1-Normalny3"/>
      </w:pPr>
      <w:r>
        <w:t>4)</w:t>
        <w:tab/>
        <w:t xml:space="preserve">may take the form of a numerical result or a full result, which consists of a numerical result and descriptive answers".;</w:t>
      </w:r>
    </w:p>
    <w:p w14:paraId="1AB45774" w14:textId="6AABD0B2">
      <w:pPr>
        <w:spacing w:before="120"/>
        <w:jc w:val="both"/>
        <w:rPr>
          <w:color w:val="000000" w:themeColor="text1"/>
        </w:rPr>
        <w:pStyle w:val="P68B1DB1-Normalny3"/>
      </w:pPr>
      <w:r>
        <w:t>6)</w:t>
        <w:tab/>
        <w:t xml:space="preserve">after §18, §18a the following is added:</w:t>
      </w:r>
    </w:p>
    <w:p w14:paraId="138BB4E4" w14:textId="77777777">
      <w:pPr>
        <w:spacing w:before="120"/>
        <w:jc w:val="center"/>
        <w:rPr>
          <w:color w:val="000000" w:themeColor="text1"/>
        </w:rPr>
        <w:pStyle w:val="P68B1DB1-Normalny3"/>
      </w:pPr>
      <w:r>
        <w:t>"§18a</w:t>
      </w:r>
    </w:p>
    <w:p w14:paraId="71A747B2" w14:textId="77777777">
      <w:pPr>
        <w:spacing w:before="120"/>
        <w:ind w:left="425"/>
        <w:jc w:val="both"/>
        <w:rPr>
          <w:color w:val="000000" w:themeColor="text1"/>
        </w:rPr>
        <w:pStyle w:val="P68B1DB1-Normalny3"/>
      </w:pPr>
      <w:r>
        <w:t xml:space="preserve">The returnability of AP is determined based on the number of students taking classes in the surveyed subject. At the same time, the following criteria for determining the reliability of AP are adopted:</w:t>
      </w:r>
    </w:p>
    <w:p w14:paraId="397672B2" w14:textId="56AD7ECF">
      <w:pPr>
        <w:pStyle w:val="P68B1DB1-Akapitzlist6"/>
        <w:spacing w:before="120"/>
        <w:ind w:left="1276" w:hanging="425"/>
        <w:contextualSpacing w:val="0"/>
        <w:jc w:val="both"/>
        <w:rPr>
          <w:rFonts w:eastAsiaTheme="minorHAnsi"/>
          <w:color w:val="000000" w:themeColor="text1"/>
          <w:kern w:val="2"/>
          <w14:ligatures w14:val="standardContextual"/>
        </w:rPr>
      </w:pPr>
      <w:r>
        <w:t>1)</w:t>
        <w:tab/>
        <w:t xml:space="preserve">for a group of fewer than 30 people – the minimum reliable return is 3 surveys;</w:t>
      </w:r>
    </w:p>
    <w:p w14:paraId="101AFA66" w14:textId="0537AE55">
      <w:pPr>
        <w:pStyle w:val="P68B1DB1-Akapitzlist6"/>
        <w:spacing w:before="120"/>
        <w:ind w:left="1276" w:hanging="425"/>
        <w:contextualSpacing w:val="0"/>
        <w:jc w:val="both"/>
        <w:rPr>
          <w:rFonts w:eastAsiaTheme="minorHAnsi"/>
          <w:color w:val="000000" w:themeColor="text1"/>
          <w:kern w:val="2"/>
          <w14:ligatures w14:val="standardContextual"/>
        </w:rPr>
      </w:pPr>
      <w:r>
        <w:t>2)</w:t>
        <w:tab/>
        <w:t xml:space="preserve">for a group of at least 30 people – the minimum reliable return is 10% of the group size".;</w:t>
      </w:r>
    </w:p>
    <w:p w14:paraId="4C18C551" w14:textId="2273E668">
      <w:pPr>
        <w:spacing w:before="120"/>
        <w:ind w:left="425" w:hanging="425"/>
        <w:jc w:val="both"/>
        <w:rPr>
          <w:color w:val="000000" w:themeColor="text1"/>
        </w:rPr>
        <w:pStyle w:val="P68B1DB1-Normalny3"/>
      </w:pPr>
      <w:r>
        <w:rPr>
          <w:kern w:val="22"/>
        </w:rPr>
        <w:t>7)</w:t>
        <w:tab/>
      </w:r>
      <w:r>
        <w:t xml:space="preserve">§19 shall be replaced by the following:</w:t>
      </w:r>
    </w:p>
    <w:p w14:paraId="6D569BC0" w14:textId="77777777">
      <w:pPr>
        <w:spacing w:before="120"/>
        <w:ind w:left="425" w:hanging="425"/>
        <w:jc w:val="center"/>
        <w:rPr>
          <w:color w:val="000000" w:themeColor="text1"/>
        </w:rPr>
        <w:pStyle w:val="P68B1DB1-Normalny3"/>
      </w:pPr>
      <w:r>
        <w:t>"§19</w:t>
      </w:r>
    </w:p>
    <w:p w14:paraId="2EA20119" w14:textId="77777777">
      <w:pPr>
        <w:spacing w:before="120"/>
        <w:ind w:left="567"/>
        <w:jc w:val="both"/>
        <w:rPr>
          <w:color w:val="000000" w:themeColor="text1"/>
        </w:rPr>
        <w:pStyle w:val="P68B1DB1-Normalny3"/>
      </w:pPr>
      <w:r>
        <w:t xml:space="preserve">The numerical results of the measurable AP are sent to:</w:t>
      </w:r>
    </w:p>
    <w:p w14:paraId="1810E8BD" w14:textId="2EDB2D12">
      <w:pPr>
        <w:spacing w:before="120"/>
        <w:ind w:left="1276" w:hanging="425"/>
        <w:jc w:val="both"/>
        <w:rPr>
          <w:color w:val="000000" w:themeColor="text1"/>
        </w:rPr>
        <w:pStyle w:val="P68B1DB1-Normalny3"/>
      </w:pPr>
      <w:r>
        <w:t>1)</w:t>
        <w:tab/>
        <w:t xml:space="preserve">a surveyed academic teacher who confirms that they have read the AP results within 14 working days from the date of their receipt,</w:t>
      </w:r>
    </w:p>
    <w:p w14:paraId="5BBD472B" w14:textId="295CD68B">
      <w:pPr>
        <w:spacing w:before="120"/>
        <w:ind w:left="1276" w:hanging="425"/>
        <w:jc w:val="both"/>
        <w:rPr>
          <w:color w:val="000000" w:themeColor="text1"/>
        </w:rPr>
        <w:pStyle w:val="P68B1DB1-Normalny3"/>
      </w:pPr>
      <w:r>
        <w:t>2)</w:t>
        <w:tab/>
        <w:t xml:space="preserve">the course manager only in the course assessment category,</w:t>
      </w:r>
    </w:p>
    <w:p w14:paraId="0760126B" w14:textId="58E6BB4A">
      <w:pPr>
        <w:spacing w:before="120"/>
        <w:ind w:left="1276" w:hanging="425"/>
        <w:jc w:val="both"/>
        <w:rPr>
          <w:color w:val="000000" w:themeColor="text1"/>
        </w:rPr>
        <w:pStyle w:val="P68B1DB1-Normalny3"/>
      </w:pPr>
      <w:r>
        <w:t>3)</w:t>
        <w:tab/>
        <w:t xml:space="preserve">direct supervisor of the surveyed academic teacher</w:t>
      </w:r>
    </w:p>
    <w:p w14:paraId="5BB7D472" w14:textId="596DAF8C">
      <w:pPr>
        <w:spacing w:before="120"/>
        <w:ind w:left="567"/>
        <w:jc w:val="both"/>
        <w:rPr>
          <w:color w:val="000000" w:themeColor="text1"/>
        </w:rPr>
        <w:pStyle w:val="P68B1DB1-Normalny3"/>
      </w:pPr>
      <w:r>
        <w:t xml:space="preserve">subject to the provisions on the protection of personal data without the right to disseminate them".;</w:t>
      </w:r>
    </w:p>
    <w:p w14:paraId="02339968" w14:textId="5EC4735D">
      <w:pPr>
        <w:spacing w:before="120"/>
        <w:jc w:val="both"/>
        <w:rPr>
          <w:color w:val="000000" w:themeColor="text1"/>
        </w:rPr>
        <w:pStyle w:val="P68B1DB1-Normalny3"/>
      </w:pPr>
      <w:r>
        <w:rPr>
          <w:kern w:val="22"/>
        </w:rPr>
        <w:t>8)</w:t>
        <w:tab/>
      </w:r>
      <w:r>
        <w:t xml:space="preserve">after §19, §19a and 19b the following are added:</w:t>
      </w:r>
    </w:p>
    <w:p w14:paraId="1090D2B9" w14:textId="77777777">
      <w:pPr>
        <w:spacing w:before="120"/>
        <w:jc w:val="center"/>
        <w:rPr>
          <w:color w:val="000000" w:themeColor="text1"/>
        </w:rPr>
        <w:pStyle w:val="P68B1DB1-Normalny3"/>
      </w:pPr>
      <w:r>
        <w:t>"§19a</w:t>
      </w:r>
    </w:p>
    <w:p w14:paraId="1EF0AF92" w14:textId="77777777">
      <w:pPr>
        <w:spacing w:before="120"/>
        <w:ind w:left="426"/>
        <w:jc w:val="both"/>
        <w:rPr>
          <w:color w:val="000000" w:themeColor="text1"/>
        </w:rPr>
        <w:pStyle w:val="P68B1DB1-Normalny3"/>
      </w:pPr>
      <w:r>
        <w:t xml:space="preserve">The full results of the measurable AP are sent to:</w:t>
      </w:r>
    </w:p>
    <w:p w14:paraId="128C2C8A" w14:textId="7D6BE272">
      <w:pPr>
        <w:spacing w:before="120"/>
        <w:ind w:left="1276" w:hanging="425"/>
        <w:jc w:val="both"/>
        <w:rPr>
          <w:color w:val="000000" w:themeColor="text1"/>
        </w:rPr>
        <w:pStyle w:val="P68B1DB1-Normalny3"/>
      </w:pPr>
      <w:r>
        <w:t>1)</w:t>
        <w:tab/>
        <w:t xml:space="preserve">the head of the independent organizational unit or a person acting under his authority,</w:t>
      </w:r>
    </w:p>
    <w:p w14:paraId="26955BF6" w14:textId="747B2DFC">
      <w:pPr>
        <w:spacing w:before="120"/>
        <w:ind w:left="1276" w:hanging="425"/>
        <w:jc w:val="both"/>
        <w:rPr>
          <w:color w:val="000000" w:themeColor="text1"/>
        </w:rPr>
        <w:pStyle w:val="P68B1DB1-Normalny3"/>
      </w:pPr>
      <w:r>
        <w:t>2)</w:t>
        <w:tab/>
        <w:t xml:space="preserve">the chairman of the competent Board of Studies</w:t>
      </w:r>
    </w:p>
    <w:p w14:paraId="4F392088" w14:textId="35ADF602">
      <w:pPr>
        <w:spacing w:before="120"/>
        <w:ind w:left="426"/>
        <w:jc w:val="both"/>
        <w:rPr>
          <w:color w:val="000000" w:themeColor="text1"/>
        </w:rPr>
        <w:pStyle w:val="P68B1DB1-Normalny3"/>
      </w:pPr>
      <w:r>
        <w:t xml:space="preserve">subject to the provisions on the protection of personal data without the right to disseminate them.</w:t>
      </w:r>
    </w:p>
    <w:p w14:paraId="7DA44E6F" w14:textId="6488C05A">
      <w:pPr>
        <w:spacing w:before="120"/>
        <w:jc w:val="center"/>
        <w:rPr>
          <w:color w:val="000000" w:themeColor="text1"/>
        </w:rPr>
        <w:pStyle w:val="P68B1DB1-Normalny3"/>
      </w:pPr>
      <w:r>
        <w:t>§19b</w:t>
      </w:r>
    </w:p>
    <w:p w14:paraId="3C78259C" w14:textId="47377987">
      <w:pPr>
        <w:spacing w:before="120"/>
        <w:ind w:left="425"/>
        <w:jc w:val="both"/>
        <w:rPr>
          <w:color w:val="000000" w:themeColor="text1"/>
        </w:rPr>
        <w:pStyle w:val="P68B1DB1-Normalny3"/>
      </w:pPr>
      <w:r>
        <w:t xml:space="preserve">Each surveyed academic teacher has the right to inspect his/her full AP results, in the assessment category of the lecturer in paper form, through the head of the independent organizational unit or a person acting under his/her authority".;</w:t>
      </w:r>
    </w:p>
    <w:p w14:paraId="7E2A64F5" w14:textId="2D426BA2">
      <w:pPr>
        <w:spacing w:before="120"/>
        <w:rPr>
          <w:color w:val="000000" w:themeColor="text1"/>
        </w:rPr>
        <w:pStyle w:val="P68B1DB1-Normalny3"/>
      </w:pPr>
      <w:r>
        <w:t>9)</w:t>
        <w:tab/>
        <w:t xml:space="preserve">§20, §21, § 22 and §23 shall be replaced by the following:</w:t>
      </w:r>
    </w:p>
    <w:p w14:paraId="3B700357" w14:textId="77777777">
      <w:pPr>
        <w:spacing w:before="120"/>
        <w:jc w:val="center"/>
        <w:rPr>
          <w:color w:val="000000" w:themeColor="text1"/>
        </w:rPr>
        <w:pStyle w:val="P68B1DB1-Normalny3"/>
      </w:pPr>
      <w:r>
        <w:t>"§20</w:t>
      </w:r>
    </w:p>
    <w:p w14:paraId="533CEFA7" w14:textId="2F6C4E0C">
      <w:pPr>
        <w:spacing w:before="120"/>
        <w:ind w:left="425"/>
        <w:jc w:val="both"/>
        <w:rPr>
          <w:color w:val="000000" w:themeColor="text1"/>
        </w:rPr>
        <w:pStyle w:val="P68B1DB1-Normalny3"/>
      </w:pPr>
      <w:r>
        <w:t xml:space="preserve">The chairpersons of the Faculty Councils of the Student Government have access to the full AP results in terms of subject assessment and assessment of the lecturer in paper form, through the head of the independent organizational unit or a person acting under his authority, subject to the provisions on the protection of personal data without the right to disseminate them.</w:t>
      </w:r>
    </w:p>
    <w:p w14:paraId="173A944D" w14:textId="7B6CD0E9">
      <w:pPr>
        <w:spacing w:before="120"/>
        <w:ind w:left="142"/>
        <w:jc w:val="center"/>
        <w:rPr>
          <w:color w:val="000000" w:themeColor="text1"/>
        </w:rPr>
        <w:pStyle w:val="P68B1DB1-Normalny3"/>
      </w:pPr>
      <w:r>
        <w:t>§21</w:t>
      </w:r>
    </w:p>
    <w:p w14:paraId="3D580771" w14:textId="7BE07643">
      <w:pPr>
        <w:spacing w:before="120"/>
        <w:ind w:left="426"/>
        <w:jc w:val="both"/>
        <w:rPr>
          <w:color w:val="000000" w:themeColor="text1"/>
        </w:rPr>
        <w:pStyle w:val="P68B1DB1-Normalny3"/>
      </w:pPr>
      <w:r>
        <w:t xml:space="preserve">In the AP, a six-point grading scale from 2 to 5 (2; 3; 3.5; 4; 4.5; 5) is used, with the following categories being considered as a positive AP result:</w:t>
      </w:r>
    </w:p>
    <w:p w14:paraId="7522601A" w14:textId="7D22AC49">
      <w:pPr>
        <w:pStyle w:val="P68B1DB1-Akapitzlist6"/>
        <w:spacing w:before="120"/>
        <w:ind w:left="1276" w:hanging="425"/>
        <w:contextualSpacing w:val="0"/>
        <w:jc w:val="both"/>
        <w:rPr>
          <w:rFonts w:eastAsiaTheme="minorHAnsi"/>
          <w:color w:val="000000" w:themeColor="text1"/>
          <w:kern w:val="2"/>
          <w14:ligatures w14:val="standardContextual"/>
        </w:rPr>
      </w:pPr>
      <w:r>
        <w:t>1)</w:t>
        <w:tab/>
        <w:t xml:space="preserve">subject assessment – an average of at least 3 grades for each question;</w:t>
      </w:r>
    </w:p>
    <w:p w14:paraId="42CDAE6C" w14:textId="4CA48A0A">
      <w:pPr>
        <w:spacing w:before="120"/>
        <w:ind w:left="1276" w:hanging="425"/>
        <w:jc w:val="both"/>
        <w:rPr>
          <w:color w:val="000000" w:themeColor="text1"/>
        </w:rPr>
        <w:pStyle w:val="P68B1DB1-Normalny3"/>
      </w:pPr>
      <w:r>
        <w:t>2)</w:t>
        <w:tab/>
        <w:t xml:space="preserve">leader rating – an average of at least 3 ratings for each question.</w:t>
      </w:r>
    </w:p>
    <w:p w14:paraId="32135058" w14:textId="5F2A8000">
      <w:pPr>
        <w:spacing w:before="120"/>
        <w:ind w:left="142"/>
        <w:jc w:val="center"/>
        <w:rPr>
          <w:color w:val="000000" w:themeColor="text1"/>
        </w:rPr>
        <w:pStyle w:val="P68B1DB1-Normalny3"/>
      </w:pPr>
      <w:r>
        <w:t>§22</w:t>
      </w:r>
    </w:p>
    <w:p w14:paraId="44D76133" w14:textId="785C9721">
      <w:pPr>
        <w:spacing w:before="120"/>
        <w:ind w:left="425"/>
        <w:jc w:val="both"/>
        <w:rPr>
          <w:color w:val="000000" w:themeColor="text1"/>
        </w:rPr>
        <w:pStyle w:val="P68B1DB1-Normalny3"/>
      </w:pPr>
      <w:r>
        <w:t xml:space="preserve">In the event of a negative AP result in the subject assessment or the lecturer's assessment with a returnability of 30%, the head of the independent organizational unit or a person acting under his authority is obliged to identify the source of the problem and take corrective actions. The head of the independent organizational unit or a person acting under his authority is responsible for determining the AP returnability in the leader's assessment category.</w:t>
      </w:r>
    </w:p>
    <w:p w14:paraId="23E03D3D" w14:textId="320FE320">
      <w:pPr>
        <w:spacing w:before="120"/>
        <w:ind w:left="142"/>
        <w:jc w:val="center"/>
        <w:rPr>
          <w:color w:val="000000" w:themeColor="text1"/>
        </w:rPr>
        <w:pStyle w:val="P68B1DB1-Normalny3"/>
      </w:pPr>
      <w:r>
        <w:t>§23</w:t>
      </w:r>
    </w:p>
    <w:p w14:paraId="17865369" w14:textId="714A0011">
      <w:pPr>
        <w:spacing w:before="120"/>
        <w:ind w:left="425"/>
        <w:jc w:val="both"/>
        <w:rPr>
          <w:color w:val="000000" w:themeColor="text1"/>
        </w:rPr>
        <w:pStyle w:val="P68B1DB1-Normalny3"/>
      </w:pPr>
      <w:r>
        <w:t xml:space="preserve">In the event of a positive AP result in the category of the lecturer, with a returnability of 30% and an average rating of more than or equal to 4.5, the head of the independent organizational unit or a person acting under his authority is obliged to provide the surveyed academic teacher with positive feedback in writing. The head of the independent organizational unit or a person acting under his authority is responsible for determining the returnability of the AP".;</w:t>
      </w:r>
    </w:p>
    <w:p w14:paraId="7FE327EB" w14:textId="732DEA72">
      <w:pPr>
        <w:spacing w:before="120"/>
        <w:jc w:val="both"/>
        <w:rPr>
          <w:color w:val="000000" w:themeColor="text1"/>
        </w:rPr>
        <w:pStyle w:val="P68B1DB1-Normalny3"/>
      </w:pPr>
      <w:r>
        <w:t>10)</w:t>
        <w:tab/>
        <w:t xml:space="preserve">after §23, §23a the following is added:</w:t>
      </w:r>
    </w:p>
    <w:p w14:paraId="487F5563" w14:textId="77777777">
      <w:pPr>
        <w:spacing w:before="120"/>
        <w:jc w:val="center"/>
        <w:rPr>
          <w:color w:val="000000" w:themeColor="text1"/>
        </w:rPr>
        <w:pStyle w:val="P68B1DB1-Normalny3"/>
      </w:pPr>
      <w:r>
        <w:t>"§23a</w:t>
      </w:r>
    </w:p>
    <w:p w14:paraId="5B294417" w14:textId="3EACCDD7">
      <w:pPr>
        <w:autoSpaceDE w:val="0"/>
        <w:autoSpaceDN w:val="0"/>
        <w:adjustRightInd w:val="0"/>
        <w:spacing w:before="120"/>
        <w:ind w:left="426"/>
        <w:jc w:val="both"/>
        <w:rPr>
          <w:color w:val="000000" w:themeColor="text1"/>
        </w:rPr>
        <w:pStyle w:val="P68B1DB1-Normalny3"/>
      </w:pPr>
      <w:r>
        <w:t xml:space="preserve">Each surveyed academic teacher has the right to submit explanations regarding the AP results in the assessment of classes category. Explanations are submitted to the head of the independent organizational unit or a person acting under his authority. Explanations will be taken into account after confirming the fact that the teacher has read the AP results. The head of the independent organizational unit or a person acting under his authority is obliged to attach the submitted explanations to the documentation related to the survey of didactic classes".;</w:t>
      </w:r>
    </w:p>
    <w:p w14:paraId="77C7BA96" w14:textId="541EFB40">
      <w:pPr>
        <w:spacing w:before="120"/>
        <w:ind w:left="425" w:hanging="425"/>
        <w:jc w:val="both"/>
        <w:rPr>
          <w:color w:val="000000" w:themeColor="text1"/>
          <w:kern w:val="22"/>
        </w:rPr>
        <w:pStyle w:val="P68B1DB1-Normalny5"/>
      </w:pPr>
      <w:r>
        <w:t>11)</w:t>
        <w:tab/>
        <w:t xml:space="preserve">§27 shall be replaced by the following:</w:t>
      </w:r>
    </w:p>
    <w:p w14:paraId="444E128A" w14:textId="77777777">
      <w:pPr>
        <w:spacing w:before="120"/>
        <w:jc w:val="center"/>
        <w:rPr>
          <w:color w:val="000000" w:themeColor="text1"/>
        </w:rPr>
        <w:pStyle w:val="P68B1DB1-Normalny3"/>
      </w:pPr>
      <w:r>
        <w:t>"§27</w:t>
      </w:r>
    </w:p>
    <w:p w14:paraId="022A1054" w14:textId="131EBFB5">
      <w:pPr>
        <w:spacing w:before="120"/>
        <w:ind w:left="426"/>
        <w:jc w:val="both"/>
        <w:rPr>
          <w:color w:val="000000" w:themeColor="text1"/>
        </w:rPr>
        <w:pStyle w:val="P68B1DB1-Normalny3"/>
      </w:pPr>
      <w:r>
        <w:t xml:space="preserve">The results of the authoritative AP in the lecturer's assessment category are part of the periodic assessment of the academic teacher, on the terms specified by the relevant Rector's order, provided that the AP's returnability was at least 30%. The SAD result is not taken into account in the periodic assessment of the academic teacher".;</w:t>
      </w:r>
    </w:p>
    <w:p w14:paraId="19B91FD8" w14:textId="7B7957AA">
      <w:pPr>
        <w:spacing w:before="120"/>
        <w:jc w:val="both"/>
        <w:rPr>
          <w:color w:val="000000" w:themeColor="text1"/>
        </w:rPr>
        <w:pStyle w:val="P68B1DB1-Normalny3"/>
      </w:pPr>
      <w:r>
        <w:t>12)</w:t>
        <w:tab/>
        <w:t xml:space="preserve">§28 is repealed.</w:t>
      </w:r>
    </w:p>
    <w:p w14:paraId="47F464DF" w14:textId="42205A85">
      <w:pPr>
        <w:spacing w:before="120"/>
        <w:jc w:val="center"/>
        <w:rPr>
          <w:color w:val="000000" w:themeColor="text1"/>
          <w:kern w:val="0"/>
        </w:rPr>
        <w:pStyle w:val="P68B1DB1-Normalny4"/>
      </w:pPr>
      <w:r>
        <w:t>§2</w:t>
      </w:r>
    </w:p>
    <w:p w14:paraId="05CE9D80" w14:textId="6E9233FB">
      <w:pPr>
        <w:tabs>
          <w:tab w:val="left" w:pos="180"/>
        </w:tabs>
        <w:spacing w:before="120"/>
        <w:jc w:val="both"/>
        <w:rPr>
          <w:color w:val="000000" w:themeColor="text1"/>
          <w:kern w:val="0"/>
        </w:rPr>
        <w:pStyle w:val="P68B1DB1-Normalny4"/>
      </w:pPr>
      <w:r>
        <w:t xml:space="preserve">The remaining provisions of the ordinance remain unchanged.</w:t>
      </w:r>
    </w:p>
    <w:p w14:paraId="627CECD9" w14:textId="77777777">
      <w:pPr>
        <w:spacing w:before="120"/>
        <w:jc w:val="center"/>
        <w:rPr>
          <w:color w:val="000000" w:themeColor="text1"/>
          <w:kern w:val="0"/>
        </w:rPr>
        <w:pStyle w:val="P68B1DB1-Normalny4"/>
      </w:pPr>
      <w:r>
        <w:t>§3</w:t>
      </w:r>
    </w:p>
    <w:p w14:paraId="7891E1FB" w14:textId="09777C1F">
      <w:pPr>
        <w:spacing w:before="120"/>
        <w:ind w:left="426" w:hanging="426"/>
        <w:jc w:val="both"/>
        <w:rPr>
          <w:color w:val="000000" w:themeColor="text1"/>
        </w:rPr>
        <w:pStyle w:val="P68B1DB1-Normalny3"/>
      </w:pPr>
      <w:r>
        <w:t xml:space="preserve">The Ordinance enters into force on February 22, 2024.</w:t>
      </w:r>
    </w:p>
    <w:p w14:paraId="3CAFB6EC" w14:textId="77777777">
      <w:pPr>
        <w:spacing w:before="120"/>
        <w:ind w:left="426" w:hanging="426"/>
        <w:jc w:val="both"/>
        <w:rPr>
          <w:color w:val="000000" w:themeColor="text1"/>
        </w:rPr>
      </w:pPr>
    </w:p>
    <w:p w14:paraId="0616BB6C" w14:textId="77777777">
      <w:pPr>
        <w:ind w:left="4536"/>
        <w:jc w:val="center"/>
      </w:pPr>
      <w:r>
        <w:t xml:space="preserve">prof. dr hab. inż. Krzysztof Jóźwik</w:t>
      </w:r>
    </w:p>
    <w:p w14:paraId="3120D828" w14:textId="77777777">
      <w:pPr>
        <w:ind w:left="4536"/>
        <w:jc w:val="center"/>
      </w:pPr>
      <w:r>
        <w:t xml:space="preserve">Rector of Lodz University of Technology</w:t>
      </w:r>
    </w:p>
    <w:p w14:paraId="5411480A" w14:textId="77777777">
      <w:pPr>
        <w:spacing w:before="120"/>
        <w:ind w:left="4536"/>
        <w:jc w:val="center"/>
        <w:pStyle w:val="P68B1DB1-Normalny7"/>
      </w:pPr>
      <w:r>
        <w:t xml:space="preserve">/ – signed with a qualified digital signature/</w:t>
      </w:r>
    </w:p>
    <w:sectPr>
      <w:footerReference w:type="default" r:id="rId10"/>
      <w:pgSz w:w="11906" w:h="16838"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B7A01" w14:textId="77777777">
      <w:r>
        <w:separator/>
      </w:r>
    </w:p>
  </w:endnote>
  <w:endnote w:type="continuationSeparator" w:id="0">
    <w:p w14:paraId="0F0D591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7AB2" w14:textId="77777777">
    <w:pPr>
      <w:pStyle w:val="P68B1DB1-Stopka8"/>
      <w:jc w:val="right"/>
      <w:rPr>
        <w:sz w:val="20"/>
      </w:rPr>
    </w:pPr>
    <w:r>
      <w:fldChar w:fldCharType="begin"/>
    </w:r>
    <w:r>
      <w:rPr>
        <w:sz w:val="20"/>
      </w:rPr>
      <w:instrText>PAGE   \* MERGEFORMAT</w:instrText>
    </w:r>
    <w:r>
      <w:rPr>
        <w:sz w:val="20"/>
      </w:rPr>
      <w:fldChar w:fldCharType="separate"/>
    </w:r>
    <w:r>
      <w:rPr>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07069" w14:textId="77777777">
      <w:r>
        <w:separator/>
      </w:r>
    </w:p>
  </w:footnote>
  <w:footnote w:type="continuationSeparator" w:id="0">
    <w:p w14:paraId="6A3797A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2435"/>
    <w:multiLevelType w:val="hybridMultilevel"/>
    <w:tmpl w:val="84AC2C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D42EFE"/>
    <w:multiLevelType w:val="hybridMultilevel"/>
    <w:tmpl w:val="B2888F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B53511"/>
    <w:multiLevelType w:val="hybridMultilevel"/>
    <w:tmpl w:val="84AC2C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2631F7"/>
    <w:multiLevelType w:val="hybridMultilevel"/>
    <w:tmpl w:val="91F2871C"/>
    <w:lvl w:ilvl="0" w:tplc="D35869D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180D3B"/>
    <w:multiLevelType w:val="hybridMultilevel"/>
    <w:tmpl w:val="78001D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A447342"/>
    <w:multiLevelType w:val="hybridMultilevel"/>
    <w:tmpl w:val="91F2871C"/>
    <w:lvl w:ilvl="0" w:tplc="FFFFFFFF">
      <w:start w:val="1"/>
      <w:numFmt w:val="decimal"/>
      <w:lvlText w:val="%1)"/>
      <w:lvlJc w:val="left"/>
      <w:pPr>
        <w:ind w:left="644" w:hanging="360"/>
      </w:pPr>
      <w:rPr>
        <w:rFonts w:ascii="Times New Roman" w:eastAsia="Times New Roman" w:hAnsi="Times New Roman" w:cs="Times New Roman"/>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428E7F14"/>
    <w:multiLevelType w:val="hybridMultilevel"/>
    <w:tmpl w:val="1352A6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576043EA"/>
    <w:multiLevelType w:val="hybridMultilevel"/>
    <w:tmpl w:val="7700A0A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5C253F56"/>
    <w:multiLevelType w:val="hybridMultilevel"/>
    <w:tmpl w:val="4444728A"/>
    <w:lvl w:ilvl="0" w:tplc="03CE4CD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63A9136E"/>
    <w:multiLevelType w:val="hybridMultilevel"/>
    <w:tmpl w:val="9716B5DC"/>
    <w:lvl w:ilvl="0" w:tplc="D196E004">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C4E1B63"/>
    <w:multiLevelType w:val="hybridMultilevel"/>
    <w:tmpl w:val="B2888F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93748646">
    <w:abstractNumId w:val="6"/>
  </w:num>
  <w:num w:numId="2" w16cid:durableId="236132892">
    <w:abstractNumId w:val="7"/>
  </w:num>
  <w:num w:numId="3" w16cid:durableId="422922291">
    <w:abstractNumId w:val="3"/>
  </w:num>
  <w:num w:numId="4" w16cid:durableId="1487166842">
    <w:abstractNumId w:val="9"/>
  </w:num>
  <w:num w:numId="5" w16cid:durableId="1587037291">
    <w:abstractNumId w:val="5"/>
  </w:num>
  <w:num w:numId="6" w16cid:durableId="395513810">
    <w:abstractNumId w:val="8"/>
  </w:num>
  <w:num w:numId="7" w16cid:durableId="1111707724">
    <w:abstractNumId w:val="10"/>
  </w:num>
  <w:num w:numId="8" w16cid:durableId="659381292">
    <w:abstractNumId w:val="1"/>
  </w:num>
  <w:num w:numId="9" w16cid:durableId="1722628592">
    <w:abstractNumId w:val="2"/>
  </w:num>
  <w:num w:numId="10" w16cid:durableId="533663345">
    <w:abstractNumId w:val="0"/>
  </w:num>
  <w:num w:numId="11" w16cid:durableId="1838037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ChangesUpdateDate" w:val="2019-09-27"/>
    <w:docVar w:name="LE_Links" w:val="{513A71EF-CD5C-4ABE-9918-101E9990BB15}"/>
  </w:docVars>
  <w:rsids>
    <w:rsidRoot w:val="00E7593A"/>
    <w:rsid w:val="00004183"/>
    <w:rsid w:val="000050FD"/>
    <w:rsid w:val="00007C8E"/>
    <w:rsid w:val="0002709A"/>
    <w:rsid w:val="0002749A"/>
    <w:rsid w:val="000338E6"/>
    <w:rsid w:val="00033DE0"/>
    <w:rsid w:val="000342C7"/>
    <w:rsid w:val="0003482F"/>
    <w:rsid w:val="0004589C"/>
    <w:rsid w:val="00046648"/>
    <w:rsid w:val="000505C4"/>
    <w:rsid w:val="00063D76"/>
    <w:rsid w:val="00070FBA"/>
    <w:rsid w:val="00071BD5"/>
    <w:rsid w:val="0007726A"/>
    <w:rsid w:val="0008007A"/>
    <w:rsid w:val="00087432"/>
    <w:rsid w:val="00092DBF"/>
    <w:rsid w:val="00093E04"/>
    <w:rsid w:val="00094C4E"/>
    <w:rsid w:val="00097D5D"/>
    <w:rsid w:val="000A2EFC"/>
    <w:rsid w:val="000A584F"/>
    <w:rsid w:val="000C1B95"/>
    <w:rsid w:val="000C4D5F"/>
    <w:rsid w:val="000D08D4"/>
    <w:rsid w:val="000D2740"/>
    <w:rsid w:val="000D50D8"/>
    <w:rsid w:val="000E4AE7"/>
    <w:rsid w:val="000E4CF1"/>
    <w:rsid w:val="00113456"/>
    <w:rsid w:val="0012470B"/>
    <w:rsid w:val="001253FE"/>
    <w:rsid w:val="001260AF"/>
    <w:rsid w:val="0012691E"/>
    <w:rsid w:val="00131F1B"/>
    <w:rsid w:val="001336AE"/>
    <w:rsid w:val="0014441F"/>
    <w:rsid w:val="00155117"/>
    <w:rsid w:val="00163FCE"/>
    <w:rsid w:val="00165B58"/>
    <w:rsid w:val="00167404"/>
    <w:rsid w:val="0016762B"/>
    <w:rsid w:val="00180AA7"/>
    <w:rsid w:val="00181578"/>
    <w:rsid w:val="001832F9"/>
    <w:rsid w:val="001B4C14"/>
    <w:rsid w:val="001B53F6"/>
    <w:rsid w:val="001B769A"/>
    <w:rsid w:val="001C01C9"/>
    <w:rsid w:val="001C3B3A"/>
    <w:rsid w:val="001C6C8D"/>
    <w:rsid w:val="001D53E9"/>
    <w:rsid w:val="001E3209"/>
    <w:rsid w:val="001E510C"/>
    <w:rsid w:val="001E543A"/>
    <w:rsid w:val="001F416B"/>
    <w:rsid w:val="0021375E"/>
    <w:rsid w:val="002149F6"/>
    <w:rsid w:val="00221713"/>
    <w:rsid w:val="0022602E"/>
    <w:rsid w:val="00236170"/>
    <w:rsid w:val="00236957"/>
    <w:rsid w:val="0023730B"/>
    <w:rsid w:val="00237838"/>
    <w:rsid w:val="0024685F"/>
    <w:rsid w:val="0025566A"/>
    <w:rsid w:val="00257DA5"/>
    <w:rsid w:val="002603B4"/>
    <w:rsid w:val="002614B7"/>
    <w:rsid w:val="0026219C"/>
    <w:rsid w:val="0026420B"/>
    <w:rsid w:val="00283F7C"/>
    <w:rsid w:val="00295AE7"/>
    <w:rsid w:val="002A0DF0"/>
    <w:rsid w:val="002B6294"/>
    <w:rsid w:val="002C25F1"/>
    <w:rsid w:val="002C5EC5"/>
    <w:rsid w:val="002C6CEF"/>
    <w:rsid w:val="002D1E7F"/>
    <w:rsid w:val="002E0C28"/>
    <w:rsid w:val="002E7445"/>
    <w:rsid w:val="002F4A56"/>
    <w:rsid w:val="002F581E"/>
    <w:rsid w:val="003001F4"/>
    <w:rsid w:val="0030309A"/>
    <w:rsid w:val="00307E64"/>
    <w:rsid w:val="003149EE"/>
    <w:rsid w:val="0032295C"/>
    <w:rsid w:val="00326FFA"/>
    <w:rsid w:val="0033295E"/>
    <w:rsid w:val="00336FFF"/>
    <w:rsid w:val="003468C7"/>
    <w:rsid w:val="0035386C"/>
    <w:rsid w:val="00365C29"/>
    <w:rsid w:val="003712B7"/>
    <w:rsid w:val="003762F0"/>
    <w:rsid w:val="00387807"/>
    <w:rsid w:val="00391EDF"/>
    <w:rsid w:val="003923C2"/>
    <w:rsid w:val="0039350D"/>
    <w:rsid w:val="003B0915"/>
    <w:rsid w:val="003D7241"/>
    <w:rsid w:val="003E532E"/>
    <w:rsid w:val="003F03AF"/>
    <w:rsid w:val="003F1318"/>
    <w:rsid w:val="003F1D01"/>
    <w:rsid w:val="003F50B4"/>
    <w:rsid w:val="00403EBB"/>
    <w:rsid w:val="00413C10"/>
    <w:rsid w:val="00417691"/>
    <w:rsid w:val="00431488"/>
    <w:rsid w:val="00433C62"/>
    <w:rsid w:val="004434B7"/>
    <w:rsid w:val="00454356"/>
    <w:rsid w:val="004606DB"/>
    <w:rsid w:val="00461284"/>
    <w:rsid w:val="004777D9"/>
    <w:rsid w:val="00482A10"/>
    <w:rsid w:val="00486E29"/>
    <w:rsid w:val="004934F2"/>
    <w:rsid w:val="0049449A"/>
    <w:rsid w:val="004A407A"/>
    <w:rsid w:val="004A4CF8"/>
    <w:rsid w:val="004C0600"/>
    <w:rsid w:val="004C0CB9"/>
    <w:rsid w:val="004C49D9"/>
    <w:rsid w:val="004C6D05"/>
    <w:rsid w:val="004D5F03"/>
    <w:rsid w:val="004D6528"/>
    <w:rsid w:val="004E2988"/>
    <w:rsid w:val="004F73CB"/>
    <w:rsid w:val="005008F3"/>
    <w:rsid w:val="005046C3"/>
    <w:rsid w:val="00513B56"/>
    <w:rsid w:val="00514F16"/>
    <w:rsid w:val="00515234"/>
    <w:rsid w:val="005374A6"/>
    <w:rsid w:val="00537E25"/>
    <w:rsid w:val="00550DA4"/>
    <w:rsid w:val="00563900"/>
    <w:rsid w:val="00573749"/>
    <w:rsid w:val="00577351"/>
    <w:rsid w:val="00581660"/>
    <w:rsid w:val="005858FF"/>
    <w:rsid w:val="005863FF"/>
    <w:rsid w:val="00592375"/>
    <w:rsid w:val="00596D12"/>
    <w:rsid w:val="005A3209"/>
    <w:rsid w:val="005C19D3"/>
    <w:rsid w:val="005C6538"/>
    <w:rsid w:val="005D0943"/>
    <w:rsid w:val="005D5105"/>
    <w:rsid w:val="005E71E6"/>
    <w:rsid w:val="005E7B62"/>
    <w:rsid w:val="005F1867"/>
    <w:rsid w:val="005F7D6F"/>
    <w:rsid w:val="00607745"/>
    <w:rsid w:val="00612AB6"/>
    <w:rsid w:val="00617418"/>
    <w:rsid w:val="0062503E"/>
    <w:rsid w:val="0062569C"/>
    <w:rsid w:val="00625F0A"/>
    <w:rsid w:val="0063279E"/>
    <w:rsid w:val="00646C92"/>
    <w:rsid w:val="00661332"/>
    <w:rsid w:val="006621C8"/>
    <w:rsid w:val="00664F33"/>
    <w:rsid w:val="0066539D"/>
    <w:rsid w:val="00666BC4"/>
    <w:rsid w:val="006751CF"/>
    <w:rsid w:val="00675A67"/>
    <w:rsid w:val="0067745F"/>
    <w:rsid w:val="006809E9"/>
    <w:rsid w:val="00680A48"/>
    <w:rsid w:val="00685A85"/>
    <w:rsid w:val="00686D13"/>
    <w:rsid w:val="006876D1"/>
    <w:rsid w:val="006A1844"/>
    <w:rsid w:val="006A52FC"/>
    <w:rsid w:val="006A6E7E"/>
    <w:rsid w:val="006B0F82"/>
    <w:rsid w:val="006B3811"/>
    <w:rsid w:val="006C779A"/>
    <w:rsid w:val="006D2DE2"/>
    <w:rsid w:val="006D3E38"/>
    <w:rsid w:val="006D5985"/>
    <w:rsid w:val="006D59B6"/>
    <w:rsid w:val="006E4C74"/>
    <w:rsid w:val="006F49C4"/>
    <w:rsid w:val="006F578D"/>
    <w:rsid w:val="00703859"/>
    <w:rsid w:val="00710AFD"/>
    <w:rsid w:val="00714959"/>
    <w:rsid w:val="007158A6"/>
    <w:rsid w:val="0071668D"/>
    <w:rsid w:val="0072706C"/>
    <w:rsid w:val="00732052"/>
    <w:rsid w:val="0073406E"/>
    <w:rsid w:val="007341C8"/>
    <w:rsid w:val="0074727B"/>
    <w:rsid w:val="00751C53"/>
    <w:rsid w:val="00752639"/>
    <w:rsid w:val="00754AAE"/>
    <w:rsid w:val="0075707E"/>
    <w:rsid w:val="0076587B"/>
    <w:rsid w:val="007724FE"/>
    <w:rsid w:val="007733F0"/>
    <w:rsid w:val="0077539B"/>
    <w:rsid w:val="00780D8A"/>
    <w:rsid w:val="007B12AF"/>
    <w:rsid w:val="007C43F0"/>
    <w:rsid w:val="007D64C1"/>
    <w:rsid w:val="007E4841"/>
    <w:rsid w:val="007E7309"/>
    <w:rsid w:val="007F7172"/>
    <w:rsid w:val="0080793D"/>
    <w:rsid w:val="00811467"/>
    <w:rsid w:val="0081418F"/>
    <w:rsid w:val="00823755"/>
    <w:rsid w:val="008318DE"/>
    <w:rsid w:val="008325D6"/>
    <w:rsid w:val="00835EA3"/>
    <w:rsid w:val="0084080E"/>
    <w:rsid w:val="00841B2D"/>
    <w:rsid w:val="00845634"/>
    <w:rsid w:val="008533E3"/>
    <w:rsid w:val="00866993"/>
    <w:rsid w:val="0086702B"/>
    <w:rsid w:val="00867441"/>
    <w:rsid w:val="00877824"/>
    <w:rsid w:val="008809D4"/>
    <w:rsid w:val="0088121C"/>
    <w:rsid w:val="008927A6"/>
    <w:rsid w:val="008939C4"/>
    <w:rsid w:val="00893BD4"/>
    <w:rsid w:val="00897830"/>
    <w:rsid w:val="008A4F03"/>
    <w:rsid w:val="008A788D"/>
    <w:rsid w:val="008B2BC2"/>
    <w:rsid w:val="008B66A4"/>
    <w:rsid w:val="008B7316"/>
    <w:rsid w:val="008C05F5"/>
    <w:rsid w:val="008C08D5"/>
    <w:rsid w:val="008C7070"/>
    <w:rsid w:val="008D0CB0"/>
    <w:rsid w:val="008D468E"/>
    <w:rsid w:val="008D7394"/>
    <w:rsid w:val="008D7C6D"/>
    <w:rsid w:val="008E37F6"/>
    <w:rsid w:val="008F02CD"/>
    <w:rsid w:val="008F256C"/>
    <w:rsid w:val="00900945"/>
    <w:rsid w:val="00903EAE"/>
    <w:rsid w:val="00907760"/>
    <w:rsid w:val="00907F7A"/>
    <w:rsid w:val="00911D0E"/>
    <w:rsid w:val="00925306"/>
    <w:rsid w:val="00925EE7"/>
    <w:rsid w:val="00930E95"/>
    <w:rsid w:val="009528D4"/>
    <w:rsid w:val="00954A7C"/>
    <w:rsid w:val="00955DEE"/>
    <w:rsid w:val="009636FD"/>
    <w:rsid w:val="00971459"/>
    <w:rsid w:val="00974D10"/>
    <w:rsid w:val="00975070"/>
    <w:rsid w:val="009816BB"/>
    <w:rsid w:val="009A06F6"/>
    <w:rsid w:val="009A252C"/>
    <w:rsid w:val="009A7C84"/>
    <w:rsid w:val="009B0229"/>
    <w:rsid w:val="009B4E1A"/>
    <w:rsid w:val="009B6413"/>
    <w:rsid w:val="009B6D1C"/>
    <w:rsid w:val="009C0A9B"/>
    <w:rsid w:val="009C62B6"/>
    <w:rsid w:val="009C6E27"/>
    <w:rsid w:val="009D2DC4"/>
    <w:rsid w:val="009D4346"/>
    <w:rsid w:val="009D796C"/>
    <w:rsid w:val="009E12EC"/>
    <w:rsid w:val="009E1F91"/>
    <w:rsid w:val="009E347C"/>
    <w:rsid w:val="009E5A3C"/>
    <w:rsid w:val="009E77B3"/>
    <w:rsid w:val="00A02BDD"/>
    <w:rsid w:val="00A13752"/>
    <w:rsid w:val="00A17D03"/>
    <w:rsid w:val="00A20F25"/>
    <w:rsid w:val="00A328FF"/>
    <w:rsid w:val="00A354CD"/>
    <w:rsid w:val="00A5503E"/>
    <w:rsid w:val="00A63A9A"/>
    <w:rsid w:val="00A65193"/>
    <w:rsid w:val="00A825E3"/>
    <w:rsid w:val="00A82A18"/>
    <w:rsid w:val="00A92A06"/>
    <w:rsid w:val="00A97BDE"/>
    <w:rsid w:val="00AC025A"/>
    <w:rsid w:val="00AC5C10"/>
    <w:rsid w:val="00AC6224"/>
    <w:rsid w:val="00AD3452"/>
    <w:rsid w:val="00AE0E76"/>
    <w:rsid w:val="00AE1AF1"/>
    <w:rsid w:val="00AE38D0"/>
    <w:rsid w:val="00AF68FB"/>
    <w:rsid w:val="00B0246C"/>
    <w:rsid w:val="00B039B6"/>
    <w:rsid w:val="00B1362E"/>
    <w:rsid w:val="00B150E3"/>
    <w:rsid w:val="00B16ABA"/>
    <w:rsid w:val="00B2796D"/>
    <w:rsid w:val="00B32190"/>
    <w:rsid w:val="00B400F6"/>
    <w:rsid w:val="00B46915"/>
    <w:rsid w:val="00B51859"/>
    <w:rsid w:val="00B52722"/>
    <w:rsid w:val="00B541AA"/>
    <w:rsid w:val="00B54E28"/>
    <w:rsid w:val="00B555FB"/>
    <w:rsid w:val="00B57CF6"/>
    <w:rsid w:val="00B64C41"/>
    <w:rsid w:val="00B77E5C"/>
    <w:rsid w:val="00B87E35"/>
    <w:rsid w:val="00B96467"/>
    <w:rsid w:val="00BA751D"/>
    <w:rsid w:val="00BB2586"/>
    <w:rsid w:val="00BB3F5B"/>
    <w:rsid w:val="00BC2C8D"/>
    <w:rsid w:val="00BC66DE"/>
    <w:rsid w:val="00BC74F2"/>
    <w:rsid w:val="00BD4AF3"/>
    <w:rsid w:val="00BE147F"/>
    <w:rsid w:val="00C208FC"/>
    <w:rsid w:val="00C301E5"/>
    <w:rsid w:val="00C4031F"/>
    <w:rsid w:val="00C5338A"/>
    <w:rsid w:val="00C61DD8"/>
    <w:rsid w:val="00C63107"/>
    <w:rsid w:val="00C726B4"/>
    <w:rsid w:val="00C77C96"/>
    <w:rsid w:val="00C8791B"/>
    <w:rsid w:val="00C935BE"/>
    <w:rsid w:val="00C93B70"/>
    <w:rsid w:val="00C94436"/>
    <w:rsid w:val="00CB5A06"/>
    <w:rsid w:val="00CB6CEB"/>
    <w:rsid w:val="00CD0130"/>
    <w:rsid w:val="00CE2FB2"/>
    <w:rsid w:val="00CF3F94"/>
    <w:rsid w:val="00CF41A1"/>
    <w:rsid w:val="00D05DD3"/>
    <w:rsid w:val="00D13677"/>
    <w:rsid w:val="00D224E2"/>
    <w:rsid w:val="00D25E6E"/>
    <w:rsid w:val="00D32371"/>
    <w:rsid w:val="00D328F5"/>
    <w:rsid w:val="00D34083"/>
    <w:rsid w:val="00D4188B"/>
    <w:rsid w:val="00D4635A"/>
    <w:rsid w:val="00D46823"/>
    <w:rsid w:val="00D71BC0"/>
    <w:rsid w:val="00D72DBD"/>
    <w:rsid w:val="00D82E68"/>
    <w:rsid w:val="00D963CE"/>
    <w:rsid w:val="00D96678"/>
    <w:rsid w:val="00DA0F8D"/>
    <w:rsid w:val="00DA38A3"/>
    <w:rsid w:val="00DA5B4B"/>
    <w:rsid w:val="00DC0574"/>
    <w:rsid w:val="00DC44C0"/>
    <w:rsid w:val="00DD107D"/>
    <w:rsid w:val="00DD497E"/>
    <w:rsid w:val="00DF60FC"/>
    <w:rsid w:val="00E04935"/>
    <w:rsid w:val="00E20044"/>
    <w:rsid w:val="00E25473"/>
    <w:rsid w:val="00E31E52"/>
    <w:rsid w:val="00E40278"/>
    <w:rsid w:val="00E45489"/>
    <w:rsid w:val="00E460AA"/>
    <w:rsid w:val="00E5059F"/>
    <w:rsid w:val="00E55312"/>
    <w:rsid w:val="00E62BA2"/>
    <w:rsid w:val="00E70363"/>
    <w:rsid w:val="00E7593A"/>
    <w:rsid w:val="00E776B4"/>
    <w:rsid w:val="00EA1D10"/>
    <w:rsid w:val="00EA62C9"/>
    <w:rsid w:val="00EB0697"/>
    <w:rsid w:val="00EB1991"/>
    <w:rsid w:val="00EB1BD2"/>
    <w:rsid w:val="00EC04D6"/>
    <w:rsid w:val="00EC08C2"/>
    <w:rsid w:val="00ED6322"/>
    <w:rsid w:val="00EE4FC6"/>
    <w:rsid w:val="00EF4D3B"/>
    <w:rsid w:val="00F121D2"/>
    <w:rsid w:val="00F14B5B"/>
    <w:rsid w:val="00F16D4B"/>
    <w:rsid w:val="00F238A1"/>
    <w:rsid w:val="00F256D1"/>
    <w:rsid w:val="00F26B73"/>
    <w:rsid w:val="00F35944"/>
    <w:rsid w:val="00F40D18"/>
    <w:rsid w:val="00F42ED1"/>
    <w:rsid w:val="00F63DD3"/>
    <w:rsid w:val="00F665B4"/>
    <w:rsid w:val="00F7173F"/>
    <w:rsid w:val="00F74B05"/>
    <w:rsid w:val="00F80C46"/>
    <w:rsid w:val="00F8593D"/>
    <w:rsid w:val="00F91975"/>
    <w:rsid w:val="00FA0B1B"/>
    <w:rsid w:val="00FA16A8"/>
    <w:rsid w:val="00FA52BF"/>
    <w:rsid w:val="00FB075D"/>
    <w:rsid w:val="00FB4A61"/>
    <w:rsid w:val="00FB7584"/>
    <w:rsid w:val="00FC1FE3"/>
    <w:rsid w:val="00FC2548"/>
    <w:rsid w:val="00FD13B5"/>
    <w:rsid w:val="00FD4F9D"/>
    <w:rsid w:val="00FD7070"/>
    <w:rsid w:val="00FE1E1B"/>
    <w:rsid w:val="00FE3578"/>
    <w:rsid w:val="00FE3E72"/>
    <w:rsid w:val="00FE5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E1B31"/>
  <w15:chartTrackingRefBased/>
  <w15:docId w15:val="{0A3A3778-F8AF-45E9-95C8-0ABB7BEC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pPrDefault/>
    <w:rPrDefault>
      <w:rPr>
        <w:rFonts w:ascii="Times New Roman" w:hAnsi="Times New Roman" w:cs="Times New Roman" w:eastAsia="Times New Roman"/>
      </w:rPr>
    </w:r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kern w:val="2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FD7070"/>
    <w:pPr>
      <w:tabs>
        <w:tab w:val="center" w:pos="4536"/>
        <w:tab w:val="right" w:pos="9072"/>
      </w:tabs>
    </w:pPr>
  </w:style>
  <w:style w:type="paragraph" w:styleId="Stopka">
    <w:name w:val="footer"/>
    <w:basedOn w:val="Normalny"/>
    <w:link w:val="StopkaZnak"/>
    <w:uiPriority w:val="99"/>
    <w:rsid w:val="00FD7070"/>
    <w:pPr>
      <w:tabs>
        <w:tab w:val="center" w:pos="4536"/>
        <w:tab w:val="right" w:pos="9072"/>
      </w:tabs>
    </w:pPr>
  </w:style>
  <w:style w:type="character" w:customStyle="1" w:styleId="object">
    <w:name w:val="object"/>
    <w:rsid w:val="00087432"/>
  </w:style>
  <w:style w:type="character" w:customStyle="1" w:styleId="StopkaZnak">
    <w:name w:val="Stopka Znak"/>
    <w:link w:val="Stopka"/>
    <w:uiPriority w:val="99"/>
    <w:rsid w:val="00E40278"/>
    <w:rPr>
      <w:kern w:val="20"/>
      <w:sz w:val="24"/>
    </w:rPr>
  </w:style>
  <w:style w:type="paragraph" w:customStyle="1" w:styleId="xmsonormal">
    <w:name w:val="x_msonormal"/>
    <w:basedOn w:val="Normalny"/>
    <w:rsid w:val="001C6C8D"/>
    <w:pPr>
      <w:spacing w:before="100" w:beforeAutospacing="1" w:after="100" w:afterAutospacing="1"/>
    </w:pPr>
    <w:rPr>
      <w:kern w:val="0"/>
    </w:rPr>
  </w:style>
  <w:style w:type="paragraph" w:styleId="Tekstdymka">
    <w:name w:val="Balloon Text"/>
    <w:basedOn w:val="Normalny"/>
    <w:link w:val="TekstdymkaZnak"/>
    <w:rsid w:val="00FA52BF"/>
    <w:rPr>
      <w:rFonts w:ascii="Tahoma" w:hAnsi="Tahoma" w:cs="Tahoma"/>
      <w:sz w:val="16"/>
    </w:rPr>
  </w:style>
  <w:style w:type="character" w:customStyle="1" w:styleId="TekstdymkaZnak">
    <w:name w:val="Tekst dymka Znak"/>
    <w:link w:val="Tekstdymka"/>
    <w:rsid w:val="00FA52BF"/>
    <w:rPr>
      <w:rFonts w:ascii="Tahoma" w:hAnsi="Tahoma" w:cs="Tahoma"/>
      <w:kern w:val="20"/>
      <w:sz w:val="16"/>
    </w:rPr>
  </w:style>
  <w:style w:type="paragraph" w:styleId="Akapitzlist">
    <w:name w:val="List Paragraph"/>
    <w:basedOn w:val="Normalny"/>
    <w:uiPriority w:val="34"/>
    <w:qFormat/>
    <w:rsid w:val="006751CF"/>
    <w:pPr>
      <w:ind w:left="720"/>
      <w:contextualSpacing/>
    </w:pPr>
  </w:style>
  <w:style w:type="paragraph" w:styleId="P68B1DB1-Normalny1">
    <w:name w:val="P68B1DB1-Normalny1"/>
    <w:basedOn w:val="Normalny"/>
    <w:rPr>
      <w:rFonts w:ascii="Tahoma" w:hAnsi="Tahoma"/>
      <w:color w:val="000000" w:themeColor="text1"/>
    </w:rPr>
  </w:style>
  <w:style w:type="paragraph" w:styleId="P68B1DB1-Normalny2">
    <w:name w:val="P68B1DB1-Normalny2"/>
    <w:basedOn w:val="Normalny"/>
    <w:rPr>
      <w:rFonts w:ascii="Tahoma" w:hAnsi="Tahoma" w:cs="Tahoma"/>
      <w:color w:val="000000" w:themeColor="text1"/>
    </w:rPr>
  </w:style>
  <w:style w:type="paragraph" w:styleId="P68B1DB1-Normalny3">
    <w:name w:val="P68B1DB1-Normalny3"/>
    <w:basedOn w:val="Normalny"/>
    <w:rPr>
      <w:color w:val="000000" w:themeColor="text1"/>
    </w:rPr>
  </w:style>
  <w:style w:type="paragraph" w:styleId="P68B1DB1-Normalny4">
    <w:name w:val="P68B1DB1-Normalny4"/>
    <w:basedOn w:val="Normalny"/>
    <w:rPr>
      <w:color w:val="000000" w:themeColor="text1"/>
      <w:kern w:val="0"/>
    </w:rPr>
  </w:style>
  <w:style w:type="paragraph" w:styleId="P68B1DB1-Normalny5">
    <w:name w:val="P68B1DB1-Normalny5"/>
    <w:basedOn w:val="Normalny"/>
    <w:rPr>
      <w:color w:val="000000" w:themeColor="text1"/>
      <w:kern w:val="22"/>
    </w:rPr>
  </w:style>
  <w:style w:type="paragraph" w:styleId="P68B1DB1-Akapitzlist6">
    <w:name w:val="P68B1DB1-Akapitzlist6"/>
    <w:basedOn w:val="Akapitzlist"/>
    <w:rPr>
      <w:rFonts w:eastAsiaTheme="minorHAnsi"/>
      <w:color w:val="000000" w:themeColor="text1"/>
      <w:kern w:val="2"/>
      <w14:ligatures w14:val="standardContextual"/>
    </w:rPr>
  </w:style>
  <w:style w:type="paragraph" w:styleId="P68B1DB1-Normalny7">
    <w:name w:val="P68B1DB1-Normalny7"/>
    <w:basedOn w:val="Normalny"/>
    <w:rPr>
      <w:i/>
    </w:rPr>
  </w:style>
  <w:style w:type="paragraph" w:styleId="P68B1DB1-Stopka8">
    <w:name w:val="P68B1DB1-Stopka8"/>
    <w:basedOn w:val="Stopk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997438">
      <w:bodyDiv w:val="1"/>
      <w:marLeft w:val="0"/>
      <w:marRight w:val="0"/>
      <w:marTop w:val="0"/>
      <w:marBottom w:val="0"/>
      <w:divBdr>
        <w:top w:val="none" w:sz="0" w:space="0" w:color="auto"/>
        <w:left w:val="none" w:sz="0" w:space="0" w:color="auto"/>
        <w:bottom w:val="none" w:sz="0" w:space="0" w:color="auto"/>
        <w:right w:val="none" w:sz="0" w:space="0" w:color="auto"/>
      </w:divBdr>
    </w:div>
    <w:div w:id="1070923807">
      <w:bodyDiv w:val="1"/>
      <w:marLeft w:val="0"/>
      <w:marRight w:val="0"/>
      <w:marTop w:val="0"/>
      <w:marBottom w:val="0"/>
      <w:divBdr>
        <w:top w:val="none" w:sz="0" w:space="0" w:color="auto"/>
        <w:left w:val="none" w:sz="0" w:space="0" w:color="auto"/>
        <w:bottom w:val="none" w:sz="0" w:space="0" w:color="auto"/>
        <w:right w:val="none" w:sz="0" w:space="0" w:color="auto"/>
      </w:divBdr>
    </w:div>
    <w:div w:id="159936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gorzata.kupczynsk\AppData\Roaming\Microsoft\Szablony\Zarzadzeni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A71EF-CD5C-4ABE-9918-101E9990BB15}">
  <ds:schemaRefs>
    <ds:schemaRef ds:uri="http://www.w3.org/2001/XMLSchema"/>
  </ds:schemaRefs>
</ds:datastoreItem>
</file>

<file path=customXml/itemProps2.xml><?xml version="1.0" encoding="utf-8"?>
<ds:datastoreItem xmlns:ds="http://schemas.openxmlformats.org/officeDocument/2006/customXml" ds:itemID="{A79E77FD-CE99-4772-9E27-DC2ECB08B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Zarzadzenie.dot</Template>
  <TotalTime>5</TotalTime>
  <Pages>3</Pages>
  <Words>1048</Words>
  <Characters>6294</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Politechnika Łódzka</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Kupczyńska</dc:creator>
  <cp:keywords/>
  <cp:lastModifiedBy>Iwona Jaborska ROO</cp:lastModifiedBy>
  <cp:revision>6</cp:revision>
  <cp:lastPrinted>2023-02-24T07:39:00Z</cp:lastPrinted>
  <dcterms:created xsi:type="dcterms:W3CDTF">2024-02-21T10:35:00Z</dcterms:created>
  <dcterms:modified xsi:type="dcterms:W3CDTF">2024-02-21T10:50:00Z</dcterms:modified>
</cp:coreProperties>
</file>